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rPr>
          <w:b/>
          <w:i w:val="0"/>
        </w:rPr>
        <w:t>RESOLUCIÓN DEL DIRECTOR GENERAL DE LA ACTIVIDAD FÍSICA Y EL DEPORTE POR LA QUE SE RESUELVE PROVISIONALMENTE LA CONVOCATORIA DE SUBVENCIONES EFECTUADA POR ORDEN DE 11 DE MARZO DE 2025, DEL CONSEJERO DE EDUCACIÓN, FORMACIÓN PROFESIONAL, ACTIVIDAD FÍSICA Y DEPORTES, RESPECTO A LA BASE ESPECIFICA DE LA LÍNEA 2 Y PARA EL EJERCICIO 2025, DE GASTOS DE LAS ACTIVIDADES DEPORTIVAS DE LOS CLUBES DEPORTIVOS CANARIOS QUE DISPUTEN CATEGORÍAS ABSOLUTAS DE ÁMBITO NACIONAL Y EUROPEO DE LAS DISTINTAS MODALIDADES DEPORTIVAS.</w:t>
      </w:r>
    </w:p>
    <w:p>
      <w:pPr>
        <w:jc w:val="both"/>
      </w:pPr>
      <w:r>
        <w:rPr>
          <w:b w:val="0"/>
          <w:i w:val="0"/>
        </w:rPr>
        <w:t>Examinadas las solicitudes de subvención presentadas al amparo de la Orden de 11 de marzo de 2025, del Consejero de Educación, Formación Profesional, Actividad Física y Deportes por la que se convocaron para el ejercicio 2025, subvenciones destinadas a apoyar a los clubes deportivos canarios que disputen categorías absolutas de ámbito nacional y europeo de las distintas modalidades deportivas.</w:t>
      </w:r>
    </w:p>
    <w:p>
      <w:pPr>
        <w:jc w:val="both"/>
      </w:pPr>
      <w:r>
        <w:rPr>
          <w:b w:val="0"/>
          <w:i w:val="0"/>
        </w:rPr>
        <w:t>Examinado el Informe de la Comisión de Valoración de fecha 16 de abril 2025 el Informe Propuesta del Servicio de Deportes de fecha 16 de abril 2025, y teniendo en cuenta los siguientes,</w:t>
      </w:r>
    </w:p>
    <w:p>
      <w:pPr>
        <w:jc w:val="center"/>
      </w:pPr>
      <w:r>
        <w:rPr>
          <w:b/>
          <w:i w:val="0"/>
        </w:rPr>
        <w:t>ANTECEDENTES DE HECHO</w:t>
      </w:r>
    </w:p>
    <w:p>
      <w:pPr>
        <w:jc w:val="both"/>
      </w:pPr>
      <w:r>
        <w:rPr>
          <w:b/>
        </w:rPr>
        <w:t>Primero.-</w:t>
      </w:r>
      <w:r>
        <w:t xml:space="preserve"> Por Orden de 17 de enero de 2025, del Consejero de Educación, Formación Profesional, Actividad Física y Deportes se aprobaron las bases reguladoras de la concesión de las subvenciones destinadas a apoyar a clubes deportivos canarios que disputen categorías absolutas de ámbito nacional y europeo de las distintas modalidades deportivas (BOC n.º 17, de 27 de enero de 2025).</w:t>
      </w:r>
    </w:p>
    <w:p>
      <w:pPr>
        <w:jc w:val="both"/>
      </w:pPr>
      <w:r>
        <w:rPr>
          <w:b/>
        </w:rPr>
        <w:t>Segundo.-</w:t>
      </w:r>
      <w:r>
        <w:t xml:space="preserve"> Por Orden nº 409/2025, de 11 de marzo de 2025, del Consejero de Educación, Formación Profesional, Actividad Física y Deportes por la que se aprueba el gasto y se convocan para el ejercicio 2025, las subvenciones destinadas a apoyar a clubes deportivos canarios que disputen categorías absolutas de ámbito nacional y europeo de las distintas modalidades deportivas (BOC n.º 55, de 19 de marzo de 2025).</w:t>
      </w:r>
    </w:p>
    <w:p>
      <w:pPr>
        <w:jc w:val="both"/>
      </w:pPr>
      <w:r>
        <w:rPr>
          <w:b/>
        </w:rPr>
        <w:t>Tercero.-</w:t>
      </w:r>
      <w:r>
        <w:t xml:space="preserve"> El resuelvo segundo de la citada Orden de convocatoria señala que la dotación económica prevista para la presente convocatoria de 2025, asciende a la cantidad total de tres millones ochocientos mil euros (3.800.000,00 €), siendo 100% fondos de la Comunidad Autónoma de Canarias, con cargo a las aplicaciones presupuestarias siguientes:</w:t>
      </w:r>
    </w:p>
    <w:p>
      <w:pPr>
        <w:jc w:val="both"/>
      </w:pPr>
      <w:r>
        <w:rPr>
          <w:b w:val="0"/>
          <w:i w:val="0"/>
        </w:rPr>
        <w:t>Para la línea 2 de subvención, que corresponde a los gastos de actividades deportivas de clubes que compiten en Europa, se destinarán los siguientes fondos:</w:t>
      </w:r>
    </w:p>
    <w:tbl>
      <w:tblPr>
        <w:tblStyle w:val="TableGrid"/>
        <w:tblW w:type="auto" w:w="0"/>
        <w:jc w:val="center"/>
        <w:tblLook w:firstColumn="1" w:firstRow="1" w:lastColumn="0" w:lastRow="0" w:noHBand="0" w:noVBand="1" w:val="04A0"/>
      </w:tblPr>
      <w:tblGrid>
        <w:gridCol w:w="3024"/>
        <w:gridCol w:w="3024"/>
        <w:gridCol w:w="3024"/>
      </w:tblGrid>
      <w:tr>
        <w:tc>
          <w:tcPr>
            <w:tcW w:type="dxa" w:w="2154"/>
            <w:shd w:val="clear" w:color="auto" w:fill="E7E6E6"/>
          </w:tcPr>
          <w:p>
            <w:pPr>
              <w:spacing w:after="0"/>
              <w:jc w:val="center"/>
            </w:pPr>
            <w:r/>
            <w:r>
              <w:rPr>
                <w:b/>
                <w:sz w:val="20"/>
              </w:rPr>
              <w:t>PROGRAMA PRESUPUESTARIO</w:t>
            </w:r>
          </w:p>
        </w:tc>
        <w:tc>
          <w:tcPr>
            <w:tcW w:type="dxa" w:w="4535"/>
            <w:shd w:val="clear" w:color="auto" w:fill="E7E6E6"/>
          </w:tcPr>
          <w:p>
            <w:pPr>
              <w:spacing w:after="0"/>
              <w:jc w:val="center"/>
            </w:pPr>
            <w:r/>
            <w:r>
              <w:rPr>
                <w:b/>
                <w:sz w:val="20"/>
              </w:rPr>
              <w:t>DENOMINACIÓN</w:t>
            </w:r>
          </w:p>
        </w:tc>
        <w:tc>
          <w:tcPr>
            <w:tcW w:type="dxa" w:w="1984"/>
            <w:shd w:val="clear" w:color="auto" w:fill="E7E6E6"/>
          </w:tcPr>
          <w:p>
            <w:pPr>
              <w:spacing w:after="0"/>
              <w:jc w:val="center"/>
            </w:pPr>
            <w:r/>
            <w:r>
              <w:rPr>
                <w:b/>
                <w:sz w:val="20"/>
              </w:rPr>
              <w:t>IMPORTE</w:t>
            </w:r>
          </w:p>
        </w:tc>
      </w:tr>
      <w:tr>
        <w:tc>
          <w:tcPr>
            <w:tcW w:type="dxa" w:w="2154"/>
          </w:tcPr>
          <w:p>
            <w:pPr>
              <w:spacing w:after="0"/>
              <w:jc w:val="center"/>
            </w:pPr>
            <w:r/>
            <w:r>
              <w:rPr>
                <w:b w:val="0"/>
                <w:sz w:val="20"/>
              </w:rPr>
              <w:t>18.12. 336A</w:t>
              <w:br/>
              <w:t>480.02.00</w:t>
              <w:br/>
              <w:t>L.A. 184G1224</w:t>
            </w:r>
          </w:p>
        </w:tc>
        <w:tc>
          <w:tcPr>
            <w:tcW w:type="dxa" w:w="4535"/>
          </w:tcPr>
          <w:p>
            <w:pPr>
              <w:spacing w:after="0"/>
              <w:jc w:val="center"/>
            </w:pPr>
            <w:r/>
            <w:r>
              <w:rPr>
                <w:b w:val="0"/>
                <w:sz w:val="20"/>
              </w:rPr>
              <w:t>APOYO A LA PARTICIPACIÓN INTERNACIONAL DE CLUBES</w:t>
            </w:r>
          </w:p>
        </w:tc>
        <w:tc>
          <w:tcPr>
            <w:tcW w:type="dxa" w:w="1984"/>
          </w:tcPr>
          <w:p>
            <w:pPr>
              <w:spacing w:after="0"/>
              <w:jc w:val="center"/>
            </w:pPr>
            <w:r/>
            <w:r>
              <w:rPr>
                <w:b w:val="0"/>
                <w:sz w:val="20"/>
              </w:rPr>
              <w:t>500.000,00 €</w:t>
            </w:r>
          </w:p>
        </w:tc>
      </w:tr>
    </w:tbl>
    <w:p>
      <w:pPr>
        <w:jc w:val="both"/>
      </w:pPr>
    </w:p>
    <w:p>
      <w:pPr>
        <w:jc w:val="both"/>
      </w:pPr>
      <w:r>
        <w:rPr>
          <w:b/>
        </w:rPr>
        <w:t>Cuarto.-</w:t>
      </w:r>
      <w:r>
        <w:t xml:space="preserve"> El resuelvo Tercero de la citada Orden de convocatoria, relativo a los plazos de presentación de solicitudes, determina los plazos de presentación de las solicitudes, entre los que se encuentran los de la Línea 2, con el siguiente detalle:</w:t>
      </w:r>
    </w:p>
    <w:p>
      <w:pPr>
        <w:jc w:val="both"/>
      </w:pPr>
      <w:r>
        <w:rPr>
          <w:b w:val="0"/>
          <w:i/>
        </w:rPr>
        <w:t>Para la línea 2 de subvenciones destinadas a apoyar la financiación de las actividades deportivas de los clubes deportivos canarios que disputen competiciones oficiales europeas de las distintas modalidades deportivas, desde el 1 de abril hasta el 10 de abril de 2025, ambos inclusive.</w:t>
      </w:r>
    </w:p>
    <w:p>
      <w:pPr>
        <w:jc w:val="both"/>
      </w:pPr>
      <w:r>
        <w:rPr>
          <w:b/>
        </w:rPr>
        <w:t>Quinto.-</w:t>
      </w:r>
      <w:r>
        <w:t xml:space="preserve"> Por Resolución del Director General de la Actividad Física y el Deporte n.º 429/2025 de fecha 15 de abril de 2025 se procedió, de conformidad con lo previsto en la base décimo segunda punto tres de las bases reguladoras, a la constitución de la Comisión de Valoración y determinación de su composición, a los efectos de verificar los requisitos subjetivos y objetivos para la concesión de la subvención, valorar los proyectos de conformidad con los criterios de valoración previstos en la base quinta y cuantificar la subvención concedida.</w:t>
      </w:r>
    </w:p>
    <w:p>
      <w:pPr>
        <w:jc w:val="both"/>
      </w:pPr>
      <w:r>
        <w:rPr>
          <w:b/>
        </w:rPr>
        <w:t>Sexto.-</w:t>
      </w:r>
      <w:r>
        <w:t xml:space="preserve"> Por la Comisión de Valoración se procedió a emitir informe de evaluación de fecha 16 de abril de 2025, recogiendo los extremos previstos en el punto cuatro del Artículo once, elevándolo al órgano instructor.</w:t>
      </w:r>
    </w:p>
    <w:p>
      <w:pPr>
        <w:jc w:val="both"/>
      </w:pPr>
      <w:r>
        <w:rPr>
          <w:b/>
        </w:rPr>
        <w:t>Séptimo.-</w:t>
      </w:r>
      <w:r>
        <w:t xml:space="preserve"> El órgano instructor, a la vista de los expedientes y del informe de la Comisión de Valoración, emite informe propuesta de fecha 15 de abril de 2025, a los efectos de que se dicte la Resolución Provisional.</w:t>
      </w:r>
    </w:p>
    <w:p>
      <w:pPr>
        <w:jc w:val="both"/>
      </w:pPr>
      <w:r>
        <w:rPr>
          <w:b/>
        </w:rPr>
        <w:t>Octavo.-</w:t>
      </w:r>
      <w:r>
        <w:t xml:space="preserve"> De conformidad con lo establecido en base decimoséptima punto Uno A) 4. de las bases reguladoras, relativa al muestreo de las subvenciones concedidas por importe igual o inferior a 60.000,00 €, se procedió por el personal que integra la Unidad Administrativa del Servicio de Deportes, a la selección mediante insaculación del 5% del total de los expedientes estimados.</w:t>
      </w:r>
    </w:p>
    <w:p>
      <w:pPr>
        <w:jc w:val="both"/>
      </w:pPr>
      <w:r>
        <w:rPr>
          <w:b/>
        </w:rPr>
        <w:t>Noveno.-</w:t>
      </w:r>
      <w:r>
        <w:t xml:space="preserve"> Se ha comprobado que los solicitantes admitidos y propuestos como beneficiarios cumplen los requisitos establecidos en las bases que regulan la concesión de la subvención y en la normativa básica de subvenciones contenida en la vigente Ley 38/2003, de 17 de noviembre, General de Subvenciones, así como en el Reglamento de desarrollo de la Ley de Subvenciones, aprobado mediante Real Decreto 887/2006, de 21 de julio.</w:t>
      </w:r>
    </w:p>
    <w:p>
      <w:pPr>
        <w:jc w:val="center"/>
      </w:pPr>
      <w:r>
        <w:rPr>
          <w:b/>
          <w:i w:val="0"/>
        </w:rPr>
        <w:t>FUNDAMENTOS DE DERECHO</w:t>
      </w:r>
    </w:p>
    <w:p>
      <w:pPr>
        <w:jc w:val="both"/>
      </w:pPr>
      <w:r>
        <w:rPr>
          <w:b/>
        </w:rPr>
        <w:t>Primero.-</w:t>
      </w:r>
      <w:r>
        <w:t xml:space="preserve"> Por Orden de 17 de enero de 2025, del Consejero de Educación, Formación Profesional, Actividad Física y Deportes se aprobaron las bases reguladoras de la concesión de las subvenciones destinadas a apoyar a clubes deportivos canarios que disputen categorías absolutas de ámbito nacional y europeo de las distintas modalidades deportivas (BOC n.º 17, de 27 de enero de 2025).</w:t>
      </w:r>
    </w:p>
    <w:p>
      <w:pPr>
        <w:jc w:val="both"/>
      </w:pPr>
      <w:r>
        <w:rPr>
          <w:b/>
        </w:rPr>
        <w:t>Segundo.-</w:t>
      </w:r>
      <w:r>
        <w:t xml:space="preserve"> Por Orden nº 409/2025, de 11 de marzo de 2025, del Consejero de Educación, Formación Profesional, Actividad Física y Deportes por la que se aprueba el gasto y se convocan para el ejercicio 2025, las subvenciones destinadas a apoyar a clubes deportivos canarios que disputen categorías absolutas de ámbito nacional y europeo de las distintas modalidades deportivas (BOC n.º 55, de 19 de marzo de 2025).</w:t>
      </w:r>
    </w:p>
    <w:p>
      <w:pPr>
        <w:jc w:val="both"/>
      </w:pPr>
      <w:r>
        <w:rPr>
          <w:b/>
        </w:rPr>
        <w:t>Tercero.-</w:t>
      </w:r>
      <w:r>
        <w:t xml:space="preserve"> La citada Orden de 17 de enero de 2025 dispone que la convocatoria que regula se regirá, en lo no previsto en la misma, por la Ley 38/2003, de 17 de noviembre, General de Subvenciones, su Reglamento de desarrollo, aprobado por el Real Decreto 887/2006, de 21 de julio; por la Ley 11/2006, de 11 de diciembre, de la Hacienda Pública Canaria; y por el Decreto 36/2009, de 31 de marzo, por el que se establece el Régimen General de Subvenciones de la Comunidad Autónoma de Canarias, en aquello que no se oponga o contradiga a los preceptos de carácter básico que se recogen en la citada Ley General de Subvenciones.</w:t>
      </w:r>
    </w:p>
    <w:p>
      <w:pPr>
        <w:jc w:val="both"/>
      </w:pPr>
      <w:r>
        <w:rPr>
          <w:b/>
        </w:rPr>
        <w:t>Cuarto.-</w:t>
      </w:r>
      <w:r>
        <w:t xml:space="preserve"> De conformidad con lo dispuesto en el Fundamento de Derecho tercero de la Orden de convocatoria, así como en la base octava, punto uno, de las bases reguladoras aprobadas mediante Orden de 17 de enero de 2025, el procedimiento de concesión se realizará mediante concurrencia competitiva, ajustándose a lo previsto en los artículos 14 y siguientes del Decreto 36/2009, de 31 de marzo, por el que se establece el régimen general de subvenciones de la Comunidad Autónoma de Canarias.</w:t>
      </w:r>
    </w:p>
    <w:p>
      <w:pPr>
        <w:jc w:val="both"/>
      </w:pPr>
      <w:r>
        <w:rPr>
          <w:b/>
        </w:rPr>
        <w:t>Quinto.-</w:t>
      </w:r>
      <w:r>
        <w:t xml:space="preserve"> Las bases sexta y decimosegunda de las bases reguladoras establecen los criterios de valoración de las solicitudes que habrá de seguir la Comisión de Valoración y que en ella se expresan, siempre que el solicitante cumpla los requisitos exigidos y no esté incurso en ninguna de las causas de exclusión expresamente previstas en la indicada convocatoria.</w:t>
      </w:r>
    </w:p>
    <w:p>
      <w:pPr>
        <w:jc w:val="both"/>
      </w:pPr>
      <w:r>
        <w:rPr>
          <w:b/>
        </w:rPr>
        <w:t>Sexto.-</w:t>
      </w:r>
      <w:r>
        <w:t xml:space="preserve"> Respecto a la reformulación de las solicitudes se estará a lo dispuesto en la base decimosegunda, punto siete, de las bases de convocatoria.</w:t>
      </w:r>
    </w:p>
    <w:p>
      <w:pPr>
        <w:jc w:val="both"/>
      </w:pPr>
      <w:r>
        <w:rPr>
          <w:b/>
        </w:rPr>
        <w:t>Séptimo.-</w:t>
      </w:r>
      <w:r>
        <w:t xml:space="preserve"> Respecto a la modalidad, plazo y forma de justificación, se estará a lo dispuesto en la base decimoséptima de las bases reguladoras. La justificación de la subvención concedida revestirá, para las subvenciones concedidas por importe igual o inferior a 60.000,00 euros, la modalidad de cuenta justificativa simplificada, de conformidad con el artículo 28 del Decreto 36/2009, de 31 de marzo, regulador de las subvenciones de la Administración Pública de Canarias. Para las subvenciones concedidas por importe superior a 60.000,00 euros, la entidad beneficiaria deberá justificar mediante la presentación de una cuenta justificativa con aportación de informe de auditor, conforme al artículo 27 del Decreto 36/2009, de 31 de marzo. En ambos casos, la justificación de las subvenciones se efectuará, con carácter general, dentro de los quince (15) días siguientes a contar desde que se notifique la presente Resolución, concretamente será el especificado en el resuelvo sexto de la presente resolución.</w:t>
      </w:r>
    </w:p>
    <w:p>
      <w:pPr>
        <w:jc w:val="both"/>
      </w:pPr>
      <w:r>
        <w:rPr>
          <w:b/>
        </w:rPr>
        <w:t>Octavo.-</w:t>
      </w:r>
      <w:r>
        <w:t xml:space="preserve"> Conforme al apartado cinco de la base decimotercera de las bases reguladoras, las Propuestas de Resolución Provisional y Definitiva no crean derecho alguno a favor del beneficiario propuesto frente a la Administración, mientras no haya sido notificada la resolución de concesión y se haya efectuado la aceptación expresa de la misma.</w:t>
      </w:r>
    </w:p>
    <w:p>
      <w:pPr>
        <w:jc w:val="both"/>
      </w:pPr>
      <w:r>
        <w:rPr>
          <w:b/>
        </w:rPr>
        <w:t>Noveno.-</w:t>
      </w:r>
      <w:r>
        <w:t xml:space="preserve"> De conformidad con lo dispuesto en el artículo 9.4 de la Ley 40/2015, de 2 de octubre, de Régimen Jurídico del Sector Público, las resoluciones administrativas que se adopten por delegación indicarán expresamente esta circunstancia y se considerarán dictadas por el órgano delegante.</w:t>
      </w:r>
    </w:p>
    <w:p>
      <w:pPr>
        <w:jc w:val="both"/>
      </w:pPr>
      <w:r>
        <w:rPr>
          <w:b w:val="0"/>
          <w:i w:val="0"/>
        </w:rPr>
        <w:t>A la vista de lo expuesto y considerando que la instrucción del procedimiento es ajustada a los principios de objetividad, publicidad, concurrencia e igualdad, mediante convocatoria publicada en el Boletín Oficial de Canarias,</w:t>
      </w:r>
    </w:p>
    <w:p>
      <w:pPr>
        <w:jc w:val="center"/>
      </w:pPr>
      <w:r>
        <w:rPr>
          <w:b/>
          <w:i w:val="0"/>
        </w:rPr>
        <w:t>RESUELVO</w:t>
      </w:r>
    </w:p>
    <w:p>
      <w:pPr>
        <w:jc w:val="both"/>
      </w:pPr>
      <w:r>
        <w:rPr>
          <w:b/>
        </w:rPr>
        <w:t>Primero</w:t>
      </w:r>
      <w:r>
        <w:t xml:space="preserve">.- Conceder de forma provisional y por las cantidades previstas en el Anexo I que acompaña a la presente Resolución Provisional, las subvenciones allí señaladas a favor de las entidades que igualmente allí se relacionan, correspondientes todas ellas a la </w:t>
      </w:r>
      <w:r>
        <w:rPr>
          <w:b/>
        </w:rPr>
        <w:t>Base Específica de la Línea 2 destinada a apoyar a los clubes deportivos canarios que disputen categorías absolutas de ámbito europeo de las distintas modalidades deportivas respecto al ámbito deportivo de los mismos,</w:t>
      </w:r>
      <w:r>
        <w:t xml:space="preserve"> de la convocatoria aludida en el antecedente de hecho segundo, ascendiendo el importe total a la suma de </w:t>
      </w:r>
      <w:r>
        <w:rPr>
          <w:b/>
        </w:rPr>
        <w:t>QUINIENTOS MIL EUROS (500.000,00 €),</w:t>
      </w:r>
      <w:r>
        <w:t xml:space="preserve"> con cargo a la aplicación presupuestaria 18.12. 336A 480.02.00 L.A. 184G1224 “APOYO A LA PARTICIPACIÓN INTERNACIONAL DE CLUBES”.</w:t>
      </w:r>
    </w:p>
    <w:p>
      <w:pPr>
        <w:jc w:val="both"/>
      </w:pPr>
      <w:r>
        <w:rPr>
          <w:b/>
        </w:rPr>
        <w:t>Segundo.-</w:t>
      </w:r>
      <w:r>
        <w:t xml:space="preserve"> Otorgar a los beneficiarios señalados en el Anexo I, un plazo improrrogable de </w:t>
      </w:r>
      <w:r>
        <w:rPr>
          <w:b/>
        </w:rPr>
        <w:t>DIEZ (10) DÍAS</w:t>
      </w:r>
      <w:r>
        <w:t>, contados a partir del día siguiente a la notificación de la Resolución Provisional, para la presentación de la aceptación de la respectiva subvención, con las condiciones establecidas en la citada convocatoria, indicando que de no hacerlo dentro del referido plazo se entenderá que el interesado no acepta la subvención.</w:t>
      </w:r>
    </w:p>
    <w:p>
      <w:pPr>
        <w:jc w:val="both"/>
      </w:pPr>
      <w:r>
        <w:rPr>
          <w:b/>
        </w:rPr>
        <w:t>Tercero.-</w:t>
      </w:r>
      <w:r>
        <w:t xml:space="preserve"> Instar a los beneficiarios relacionados en el Anexo I a reformular su solicitud cuando el importe de la subvención propuesta sea inferior al solicitado, de acuerdo con el artículo 17 del Decreto 36/2009, por el que se establece el régimen general de subvenciones de la Comunidad Autónoma de Canarias, otorgándoles para ello igualmente un plazo de </w:t>
      </w:r>
      <w:r>
        <w:rPr>
          <w:b/>
        </w:rPr>
        <w:t>DIEZ (10) DÍAS</w:t>
      </w:r>
      <w:r>
        <w:t>. Esta reprogramación habrá de ser efectuada sobre el proyecto inicialmente propuesto, con la sola disminución del número de acciones a realizar, o supresión, en su caso, de aquella/s que no afecte/n de forma esencial al cumplimiento de los fines y objetivos pretendidos por el conjunto del proyecto. Si el solicitante no contesta a la reformulación de su solicitud en el plazo otorgado, se mantendrá el contenido de la solicitud inicial.</w:t>
      </w:r>
    </w:p>
    <w:p>
      <w:pPr>
        <w:jc w:val="both"/>
      </w:pPr>
      <w:r>
        <w:rPr>
          <w:b/>
        </w:rPr>
        <w:t>Cuarto</w:t>
      </w:r>
      <w:r>
        <w:t xml:space="preserve">.- Otorgar a los interesados un plazo improrrogable de </w:t>
      </w:r>
      <w:r>
        <w:rPr>
          <w:b/>
        </w:rPr>
        <w:t>DIEZ (10) DÍAS</w:t>
      </w:r>
      <w:r>
        <w:t>, contados a partir del día siguiente a la notificación de la Resolución Provisional para la presentación de las alegaciones, la documentación y justificación que estime pertinente.</w:t>
      </w:r>
    </w:p>
    <w:p>
      <w:pPr>
        <w:jc w:val="both"/>
      </w:pPr>
      <w:r>
        <w:rPr>
          <w:b/>
        </w:rPr>
        <w:t>Quinto</w:t>
      </w:r>
      <w:r>
        <w:t xml:space="preserve">.- Otorgar a los beneficiarios un plazo de </w:t>
      </w:r>
      <w:r>
        <w:rPr>
          <w:b/>
        </w:rPr>
        <w:t>DIEZ (10) DÍAS</w:t>
      </w:r>
      <w:r>
        <w:t xml:space="preserve"> para la presentación de la justificación de la subvención, a contar desde que se notifique la presente Resolución Provisional, que se realizará en el Tablón de Anuncios de la sede electrónica de la Administración Pública de la Comunidad Autónoma de Canarias.</w:t>
      </w:r>
    </w:p>
    <w:p>
      <w:pPr>
        <w:jc w:val="both"/>
      </w:pPr>
      <w:r>
        <w:rPr>
          <w:b/>
        </w:rPr>
        <w:t>Sexto</w:t>
      </w:r>
      <w:r>
        <w:t>.- Que se proceda a notificar la presente Resolución Provisional mediante su publicación en el Tablón de Anuncios de la sede electrónica de la Administración Pública de la Comunidad Autónoma de Canarias (https://sede.gobiernodecanarias.org/sede/destacados_menu_home/tablon_anuncios).</w:t>
      </w:r>
    </w:p>
    <w:p>
      <w:pPr>
        <w:jc w:val="both"/>
      </w:pPr>
    </w:p>
    <w:p>
      <w:pPr>
        <w:jc w:val="left"/>
      </w:pPr>
      <w:r>
        <w:rPr>
          <w:b/>
          <w:i w:val="0"/>
        </w:rPr>
        <w:t>EL DIRECTOR GENERAL DE LA ACTIVIDAD FÍSICA Y EL DEPORTE</w:t>
      </w:r>
    </w:p>
    <w:p>
      <w:pPr>
        <w:jc w:val="both"/>
      </w:pPr>
    </w:p>
    <w:tbl>
      <w:tblPr>
        <w:tblStyle w:val="TableGrid"/>
        <w:tblW w:type="auto" w:w="0"/>
        <w:tblLook w:firstColumn="1" w:firstRow="1" w:lastColumn="0" w:lastRow="0" w:noHBand="0" w:noVBand="1" w:val="04A0"/>
      </w:tblPr>
      <w:tblGrid>
        <w:gridCol w:w="9072"/>
      </w:tblGrid>
      <w:tr>
        <w:tc>
          <w:tcPr>
            <w:tcW w:type="dxa" w:w="9072"/>
          </w:tcPr>
          <w:p>
            <w:pPr>
              <w:spacing w:after="0"/>
              <w:jc w:val="left"/>
            </w:pPr>
            <w:r/>
            <w:r>
              <w:rPr>
                <w:b w:val="0"/>
                <w:sz w:val="16"/>
              </w:rPr>
              <w:t>Este documento ha sido firmado electrónicamente por: JOSE FRANCISCO PEREZ MARTIN - DIRECTOR/A GENERAL — Fecha: 16/04/2025 - 13:09:10</w:t>
            </w:r>
          </w:p>
        </w:tc>
      </w:tr>
      <w:tr>
        <w:tc>
          <w:tcPr>
            <w:tcW w:type="dxa" w:w="9072"/>
          </w:tcPr>
          <w:p>
            <w:pPr>
              <w:spacing w:after="0"/>
              <w:jc w:val="left"/>
            </w:pPr>
            <w:r/>
            <w:r>
              <w:rPr>
                <w:b w:val="0"/>
                <w:sz w:val="16"/>
              </w:rPr>
              <w:t>Este documento ha sido registrado electrónicamente: RESOLUCION - Nº: 447 / 2025 - Tomo: 1 - Libro: 2647 - Fecha: 16/04/2025 13:28:54</w:t>
            </w:r>
          </w:p>
        </w:tc>
      </w:tr>
      <w:tr>
        <w:tc>
          <w:tcPr>
            <w:tcW w:type="dxa" w:w="9072"/>
          </w:tcPr>
          <w:p>
            <w:pPr>
              <w:spacing w:after="0"/>
              <w:jc w:val="left"/>
            </w:pPr>
            <w:r/>
            <w:r>
              <w:rPr>
                <w:b w:val="0"/>
                <w:sz w:val="16"/>
              </w:rPr>
              <w:t>En la dirección https://sede.gobiernodecanarias.org/sede/verifica_doc?codigo_nde= puede ser comprobada la autenticidad de esta copia, mediante el número de documento electrónico siguiente: 0mSFDxB0HmOx01JBYH27CQv-9dJBOVfk9</w:t>
            </w:r>
          </w:p>
        </w:tc>
      </w:tr>
      <w:tr>
        <w:tc>
          <w:tcPr>
            <w:tcW w:type="dxa" w:w="9072"/>
          </w:tcPr>
          <w:p>
            <w:pPr>
              <w:spacing w:after="0"/>
              <w:jc w:val="left"/>
            </w:pPr>
            <w:r/>
            <w:r>
              <w:rPr>
                <w:b w:val="0"/>
                <w:sz w:val="16"/>
              </w:rPr>
              <w:t>El presente documento ha sido descargado el 21/04/2025 - 07:45:52</w:t>
            </w:r>
          </w:p>
        </w:tc>
      </w:tr>
    </w:tbl>
    <w:p>
      <w:pPr>
        <w:sectPr>
          <w:headerReference w:type="default" r:id="rId9"/>
          <w:pgSz w:w="11906" w:h="16838"/>
          <w:pgMar w:top="1134" w:right="1417" w:bottom="1134" w:left="1417" w:header="720" w:footer="720" w:gutter="0"/>
          <w:cols w:space="720"/>
          <w:docGrid w:linePitch="360"/>
        </w:sectPr>
      </w:pPr>
    </w:p>
    <w:p>
      <w:pPr>
        <w:jc w:val="center"/>
      </w:pPr>
      <w:r>
        <w:rPr>
          <w:b/>
          <w:i w:val="0"/>
          <w:sz w:val="24"/>
        </w:rPr>
        <w:t>ANEXO I. SOLICITUDES ESTIMADAS – RESOLUCIÓN PROVISIONAL – CLUBES LÍNEA 2 · 2025</w:t>
      </w:r>
    </w:p>
    <w:p>
      <w:pPr>
        <w:jc w:val="center"/>
      </w:pPr>
      <w:r>
        <w:rPr>
          <w:b w:val="0"/>
          <w:i w:val="0"/>
          <w:sz w:val="16"/>
        </w:rPr>
        <w:t>100% de la totalidad del crédito del proyecto “APOYO A LA PARTICIPACIÓN INTERNACIONAL DE CLUBES” (550.000,00 €)</w:t>
      </w:r>
    </w:p>
    <w:tbl>
      <w:tblPr>
        <w:tblStyle w:val="TableGrid"/>
        <w:tblW w:type="auto" w:w="0"/>
        <w:jc w:val="center"/>
        <w:tblLayout w:type="fixed"/>
        <w:tblLook w:firstColumn="1" w:firstRow="1" w:lastColumn="0" w:lastRow="0" w:noHBand="0" w:noVBand="1" w:val="04A0"/>
        <w:tblLayout w:type="fixed"/>
      </w:tblPr>
      <w:tblGrid>
        <w:gridCol w:w="1190"/>
        <w:gridCol w:w="1984"/>
        <w:gridCol w:w="907"/>
        <w:gridCol w:w="1247"/>
        <w:gridCol w:w="510"/>
        <w:gridCol w:w="368"/>
        <w:gridCol w:w="510"/>
        <w:gridCol w:w="368"/>
        <w:gridCol w:w="907"/>
        <w:gridCol w:w="340"/>
        <w:gridCol w:w="510"/>
        <w:gridCol w:w="963"/>
        <w:gridCol w:w="1020"/>
        <w:gridCol w:w="1020"/>
        <w:gridCol w:w="850"/>
        <w:gridCol w:w="510"/>
        <w:gridCol w:w="850"/>
        <w:gridCol w:w="963"/>
        <w:gridCol w:w="623"/>
      </w:tblGrid>
      <w:tr>
        <w:tc>
          <w:tcPr>
            <w:tcW w:type="dxa" w:w="1191"/>
            <w:shd w:val="clear" w:color="auto" w:fill="D9E2F3"/>
          </w:tcPr>
          <w:p>
            <w:pPr>
              <w:spacing w:after="0"/>
              <w:jc w:val="center"/>
            </w:pPr>
            <w:r/>
            <w:r>
              <w:rPr>
                <w:b/>
                <w:sz w:val="12"/>
              </w:rPr>
              <w:t>Nº Exp</w:t>
            </w:r>
          </w:p>
        </w:tc>
        <w:tc>
          <w:tcPr>
            <w:tcW w:type="dxa" w:w="1984"/>
            <w:shd w:val="clear" w:color="auto" w:fill="D9E2F3"/>
          </w:tcPr>
          <w:p>
            <w:pPr>
              <w:spacing w:after="0"/>
              <w:jc w:val="center"/>
            </w:pPr>
            <w:r/>
            <w:r>
              <w:rPr>
                <w:b/>
                <w:sz w:val="12"/>
              </w:rPr>
              <w:t>Denominación</w:t>
            </w:r>
          </w:p>
        </w:tc>
        <w:tc>
          <w:tcPr>
            <w:tcW w:type="dxa" w:w="907"/>
            <w:shd w:val="clear" w:color="auto" w:fill="D9E2F3"/>
          </w:tcPr>
          <w:p>
            <w:pPr>
              <w:spacing w:after="0"/>
              <w:jc w:val="center"/>
            </w:pPr>
            <w:r/>
            <w:r>
              <w:rPr>
                <w:b/>
                <w:sz w:val="12"/>
              </w:rPr>
              <w:t>CIF</w:t>
            </w:r>
          </w:p>
        </w:tc>
        <w:tc>
          <w:tcPr>
            <w:tcW w:type="dxa" w:w="1247"/>
            <w:shd w:val="clear" w:color="auto" w:fill="D9E2F3"/>
          </w:tcPr>
          <w:p>
            <w:pPr>
              <w:spacing w:after="0"/>
              <w:jc w:val="center"/>
            </w:pPr>
            <w:r/>
            <w:r>
              <w:rPr>
                <w:b/>
                <w:sz w:val="12"/>
              </w:rPr>
              <w:t>Especialidad</w:t>
            </w:r>
          </w:p>
        </w:tc>
        <w:tc>
          <w:tcPr>
            <w:tcW w:type="dxa" w:w="510"/>
            <w:shd w:val="clear" w:color="auto" w:fill="D9E2F3"/>
          </w:tcPr>
          <w:p>
            <w:pPr>
              <w:spacing w:after="0"/>
              <w:jc w:val="center"/>
            </w:pPr>
            <w:r/>
            <w:r>
              <w:rPr>
                <w:b/>
                <w:sz w:val="12"/>
              </w:rPr>
              <w:t>A. Categoría Europa</w:t>
            </w:r>
          </w:p>
        </w:tc>
        <w:tc>
          <w:tcPr>
            <w:tcW w:type="dxa" w:w="369"/>
            <w:shd w:val="clear" w:color="auto" w:fill="D9E2F3"/>
          </w:tcPr>
          <w:p>
            <w:pPr>
              <w:spacing w:after="0"/>
              <w:jc w:val="center"/>
            </w:pPr>
            <w:r/>
            <w:r>
              <w:rPr>
                <w:b/>
                <w:sz w:val="12"/>
              </w:rPr>
              <w:t>Ptos</w:t>
            </w:r>
          </w:p>
        </w:tc>
        <w:tc>
          <w:tcPr>
            <w:tcW w:type="dxa" w:w="510"/>
            <w:shd w:val="clear" w:color="auto" w:fill="D9E2F3"/>
          </w:tcPr>
          <w:p>
            <w:pPr>
              <w:spacing w:after="0"/>
              <w:jc w:val="center"/>
            </w:pPr>
            <w:r/>
            <w:r>
              <w:rPr>
                <w:b/>
                <w:sz w:val="12"/>
              </w:rPr>
              <w:t>A. Nº Rondas/ fases</w:t>
            </w:r>
          </w:p>
        </w:tc>
        <w:tc>
          <w:tcPr>
            <w:tcW w:type="dxa" w:w="369"/>
            <w:shd w:val="clear" w:color="auto" w:fill="D9E2F3"/>
          </w:tcPr>
          <w:p>
            <w:pPr>
              <w:spacing w:after="0"/>
              <w:jc w:val="center"/>
            </w:pPr>
            <w:r/>
            <w:r>
              <w:rPr>
                <w:b/>
                <w:sz w:val="12"/>
              </w:rPr>
              <w:t>Ptos</w:t>
            </w:r>
          </w:p>
        </w:tc>
        <w:tc>
          <w:tcPr>
            <w:tcW w:type="dxa" w:w="907"/>
            <w:shd w:val="clear" w:color="auto" w:fill="D9E2F3"/>
          </w:tcPr>
          <w:p>
            <w:pPr>
              <w:spacing w:after="0"/>
              <w:jc w:val="center"/>
            </w:pPr>
            <w:r/>
            <w:r>
              <w:rPr>
                <w:b/>
                <w:sz w:val="12"/>
              </w:rPr>
              <w:t>B. Logros deportivos</w:t>
            </w:r>
          </w:p>
        </w:tc>
        <w:tc>
          <w:tcPr>
            <w:tcW w:type="dxa" w:w="340"/>
            <w:shd w:val="clear" w:color="auto" w:fill="D9E2F3"/>
          </w:tcPr>
          <w:p>
            <w:pPr>
              <w:spacing w:after="0"/>
              <w:jc w:val="center"/>
            </w:pPr>
            <w:r/>
            <w:r>
              <w:rPr>
                <w:b/>
                <w:sz w:val="12"/>
              </w:rPr>
              <w:t>Ptos</w:t>
            </w:r>
          </w:p>
        </w:tc>
        <w:tc>
          <w:tcPr>
            <w:tcW w:type="dxa" w:w="510"/>
            <w:shd w:val="clear" w:color="auto" w:fill="D9E2F3"/>
          </w:tcPr>
          <w:p>
            <w:pPr>
              <w:spacing w:after="0"/>
              <w:jc w:val="center"/>
            </w:pPr>
            <w:r/>
            <w:r>
              <w:rPr>
                <w:b/>
                <w:sz w:val="12"/>
              </w:rPr>
              <w:t>Total Puntos</w:t>
            </w:r>
          </w:p>
        </w:tc>
        <w:tc>
          <w:tcPr>
            <w:tcW w:type="dxa" w:w="964"/>
            <w:shd w:val="clear" w:color="auto" w:fill="D9E2F3"/>
          </w:tcPr>
          <w:p>
            <w:pPr>
              <w:spacing w:after="0"/>
              <w:jc w:val="center"/>
            </w:pPr>
            <w:r/>
            <w:r>
              <w:rPr>
                <w:b/>
                <w:sz w:val="12"/>
              </w:rPr>
              <w:t>IMPORTE SUBV.</w:t>
            </w:r>
          </w:p>
        </w:tc>
        <w:tc>
          <w:tcPr>
            <w:tcW w:type="dxa" w:w="1020"/>
            <w:shd w:val="clear" w:color="auto" w:fill="D9E2F3"/>
          </w:tcPr>
          <w:p>
            <w:pPr>
              <w:spacing w:after="0"/>
              <w:jc w:val="center"/>
            </w:pPr>
            <w:r/>
            <w:r>
              <w:rPr>
                <w:b/>
                <w:sz w:val="12"/>
              </w:rPr>
              <w:t>Coste total del proyecto</w:t>
            </w:r>
          </w:p>
        </w:tc>
        <w:tc>
          <w:tcPr>
            <w:tcW w:type="dxa" w:w="1020"/>
            <w:shd w:val="clear" w:color="auto" w:fill="D9E2F3"/>
          </w:tcPr>
          <w:p>
            <w:pPr>
              <w:spacing w:after="0"/>
              <w:jc w:val="center"/>
            </w:pPr>
            <w:r/>
            <w:r>
              <w:rPr>
                <w:b/>
                <w:sz w:val="12"/>
              </w:rPr>
              <w:t>Importe Solicitado</w:t>
            </w:r>
          </w:p>
        </w:tc>
        <w:tc>
          <w:tcPr>
            <w:tcW w:type="dxa" w:w="850"/>
            <w:shd w:val="clear" w:color="auto" w:fill="D9E2F3"/>
          </w:tcPr>
          <w:p>
            <w:pPr>
              <w:spacing w:after="0"/>
              <w:jc w:val="center"/>
            </w:pPr>
            <w:r/>
            <w:r>
              <w:rPr>
                <w:b/>
                <w:sz w:val="12"/>
              </w:rPr>
              <w:t>Reparto 1: Dif. Cantidad Solicitada</w:t>
            </w:r>
          </w:p>
        </w:tc>
        <w:tc>
          <w:tcPr>
            <w:tcW w:type="dxa" w:w="510"/>
            <w:shd w:val="clear" w:color="auto" w:fill="D9E2F3"/>
          </w:tcPr>
          <w:p>
            <w:pPr>
              <w:spacing w:after="0"/>
              <w:jc w:val="center"/>
            </w:pPr>
            <w:r/>
            <w:r>
              <w:rPr>
                <w:b/>
                <w:sz w:val="12"/>
              </w:rPr>
              <w:t>Reparto 1: Puntos</w:t>
            </w:r>
          </w:p>
        </w:tc>
        <w:tc>
          <w:tcPr>
            <w:tcW w:type="dxa" w:w="850"/>
            <w:shd w:val="clear" w:color="auto" w:fill="D9E2F3"/>
          </w:tcPr>
          <w:p>
            <w:pPr>
              <w:spacing w:after="0"/>
              <w:jc w:val="center"/>
            </w:pPr>
            <w:r/>
            <w:r>
              <w:rPr>
                <w:b/>
                <w:sz w:val="12"/>
              </w:rPr>
              <w:t>Reparto 1: Total después del Reparto</w:t>
            </w:r>
          </w:p>
        </w:tc>
        <w:tc>
          <w:tcPr>
            <w:tcW w:type="dxa" w:w="964"/>
            <w:shd w:val="clear" w:color="auto" w:fill="D9E2F3"/>
          </w:tcPr>
          <w:p>
            <w:pPr>
              <w:spacing w:after="0"/>
              <w:jc w:val="center"/>
            </w:pPr>
            <w:r/>
            <w:r>
              <w:rPr>
                <w:b/>
                <w:sz w:val="12"/>
              </w:rPr>
              <w:t>IMPORTE TOTAL FINAL</w:t>
            </w:r>
          </w:p>
        </w:tc>
        <w:tc>
          <w:tcPr>
            <w:tcW w:type="dxa" w:w="624"/>
            <w:shd w:val="clear" w:color="auto" w:fill="D9E2F3"/>
          </w:tcPr>
          <w:p>
            <w:pPr>
              <w:spacing w:after="0"/>
              <w:jc w:val="center"/>
            </w:pPr>
            <w:r/>
            <w:r>
              <w:rPr>
                <w:b/>
                <w:sz w:val="12"/>
              </w:rPr>
              <w:t>% Fin.</w:t>
            </w:r>
          </w:p>
        </w:tc>
      </w:tr>
      <w:tr>
        <w:tc>
          <w:tcPr>
            <w:tcW w:type="dxa" w:w="1191"/>
          </w:tcPr>
          <w:p>
            <w:pPr>
              <w:spacing w:after="0"/>
              <w:jc w:val="left"/>
            </w:pPr>
            <w:r/>
            <w:r>
              <w:rPr>
                <w:b w:val="0"/>
                <w:sz w:val="12"/>
              </w:rPr>
              <w:t>1/2/2025-0402235932</w:t>
            </w:r>
          </w:p>
        </w:tc>
        <w:tc>
          <w:tcPr>
            <w:tcW w:type="dxa" w:w="1984"/>
          </w:tcPr>
          <w:p>
            <w:pPr>
              <w:spacing w:after="0"/>
              <w:jc w:val="left"/>
            </w:pPr>
            <w:r/>
            <w:r>
              <w:rPr>
                <w:b w:val="0"/>
                <w:sz w:val="12"/>
              </w:rPr>
              <w:t>CLUB DEPORTIVO HEIDELBERG</w:t>
            </w:r>
          </w:p>
        </w:tc>
        <w:tc>
          <w:tcPr>
            <w:tcW w:type="dxa" w:w="907"/>
          </w:tcPr>
          <w:p>
            <w:pPr>
              <w:spacing w:after="0"/>
              <w:jc w:val="center"/>
            </w:pPr>
            <w:r/>
            <w:r>
              <w:rPr>
                <w:b w:val="0"/>
                <w:sz w:val="12"/>
              </w:rPr>
              <w:t>G35249846</w:t>
            </w:r>
          </w:p>
        </w:tc>
        <w:tc>
          <w:tcPr>
            <w:tcW w:type="dxa" w:w="1247"/>
          </w:tcPr>
          <w:p>
            <w:pPr>
              <w:spacing w:after="0"/>
              <w:jc w:val="left"/>
            </w:pPr>
            <w:r/>
            <w:r>
              <w:rPr>
                <w:b w:val="0"/>
                <w:sz w:val="12"/>
              </w:rPr>
              <w:t>VOLEIBOL (Femenino)</w:t>
            </w:r>
          </w:p>
        </w:tc>
        <w:tc>
          <w:tcPr>
            <w:tcW w:type="dxa" w:w="510"/>
          </w:tcPr>
          <w:p>
            <w:pPr>
              <w:spacing w:after="0"/>
              <w:jc w:val="center"/>
            </w:pPr>
            <w:r/>
            <w:r>
              <w:rPr>
                <w:b w:val="0"/>
                <w:sz w:val="12"/>
              </w:rPr>
              <w:t>3ª</w:t>
            </w:r>
          </w:p>
        </w:tc>
        <w:tc>
          <w:tcPr>
            <w:tcW w:type="dxa" w:w="369"/>
          </w:tcPr>
          <w:p>
            <w:pPr>
              <w:spacing w:after="0"/>
              <w:jc w:val="center"/>
            </w:pPr>
            <w:r/>
            <w:r>
              <w:rPr>
                <w:b w:val="0"/>
                <w:sz w:val="12"/>
              </w:rPr>
              <w:t>20</w:t>
            </w:r>
          </w:p>
        </w:tc>
        <w:tc>
          <w:tcPr>
            <w:tcW w:type="dxa" w:w="510"/>
          </w:tcPr>
          <w:p>
            <w:pPr>
              <w:spacing w:after="0"/>
              <w:jc w:val="center"/>
            </w:pPr>
            <w:r/>
            <w:r>
              <w:rPr>
                <w:b w:val="0"/>
                <w:sz w:val="12"/>
              </w:rPr>
              <w:t>2</w:t>
            </w:r>
          </w:p>
        </w:tc>
        <w:tc>
          <w:tcPr>
            <w:tcW w:type="dxa" w:w="369"/>
          </w:tcPr>
          <w:p>
            <w:pPr>
              <w:spacing w:after="0"/>
              <w:jc w:val="center"/>
            </w:pPr>
            <w:r/>
            <w:r>
              <w:rPr>
                <w:b w:val="0"/>
                <w:sz w:val="12"/>
              </w:rPr>
              <w:t>6</w:t>
            </w:r>
          </w:p>
        </w:tc>
        <w:tc>
          <w:tcPr>
            <w:tcW w:type="dxa" w:w="907"/>
          </w:tcPr>
          <w:p>
            <w:pPr>
              <w:spacing w:after="0"/>
              <w:jc w:val="center"/>
            </w:pPr>
            <w:r/>
            <w:r>
              <w:rPr>
                <w:b w:val="0"/>
                <w:sz w:val="12"/>
              </w:rPr>
              <w:t>Clasificación 2ª*</w:t>
            </w:r>
          </w:p>
        </w:tc>
        <w:tc>
          <w:tcPr>
            <w:tcW w:type="dxa" w:w="340"/>
          </w:tcPr>
          <w:p>
            <w:pPr>
              <w:spacing w:after="0"/>
              <w:jc w:val="center"/>
            </w:pPr>
            <w:r/>
            <w:r>
              <w:rPr>
                <w:b w:val="0"/>
                <w:sz w:val="12"/>
              </w:rPr>
              <w:t>7</w:t>
            </w:r>
          </w:p>
        </w:tc>
        <w:tc>
          <w:tcPr>
            <w:tcW w:type="dxa" w:w="510"/>
          </w:tcPr>
          <w:p>
            <w:pPr>
              <w:spacing w:after="0"/>
              <w:jc w:val="center"/>
            </w:pPr>
            <w:r/>
            <w:r>
              <w:rPr>
                <w:b w:val="0"/>
                <w:sz w:val="12"/>
              </w:rPr>
              <w:t>33,0</w:t>
            </w:r>
          </w:p>
        </w:tc>
        <w:tc>
          <w:tcPr>
            <w:tcW w:type="dxa" w:w="964"/>
          </w:tcPr>
          <w:p>
            <w:pPr>
              <w:spacing w:after="0"/>
              <w:jc w:val="right"/>
            </w:pPr>
            <w:r/>
            <w:r>
              <w:rPr>
                <w:b/>
                <w:sz w:val="12"/>
              </w:rPr>
              <w:t>30.898,88 €</w:t>
            </w:r>
          </w:p>
        </w:tc>
        <w:tc>
          <w:tcPr>
            <w:tcW w:type="dxa" w:w="1020"/>
          </w:tcPr>
          <w:p>
            <w:pPr>
              <w:spacing w:after="0"/>
              <w:jc w:val="right"/>
            </w:pPr>
            <w:r/>
            <w:r>
              <w:rPr>
                <w:b w:val="0"/>
                <w:sz w:val="12"/>
              </w:rPr>
              <w:t>250.000,00 €</w:t>
            </w:r>
          </w:p>
        </w:tc>
        <w:tc>
          <w:tcPr>
            <w:tcW w:type="dxa" w:w="1020"/>
          </w:tcPr>
          <w:p>
            <w:pPr>
              <w:spacing w:after="0"/>
              <w:jc w:val="right"/>
            </w:pPr>
            <w:r/>
            <w:r>
              <w:rPr>
                <w:b w:val="0"/>
                <w:sz w:val="12"/>
              </w:rPr>
              <w:t>250.000,00 €</w:t>
            </w:r>
          </w:p>
        </w:tc>
        <w:tc>
          <w:tcPr>
            <w:tcW w:type="dxa" w:w="850"/>
          </w:tcPr>
          <w:p>
            <w:pPr>
              <w:spacing w:after="0"/>
              <w:jc w:val="right"/>
            </w:pPr>
            <w:r/>
            <w:r>
              <w:rPr>
                <w:b w:val="0"/>
                <w:sz w:val="12"/>
              </w:rPr>
            </w:r>
          </w:p>
        </w:tc>
        <w:tc>
          <w:tcPr>
            <w:tcW w:type="dxa" w:w="510"/>
          </w:tcPr>
          <w:p>
            <w:pPr>
              <w:spacing w:after="0"/>
              <w:jc w:val="right"/>
            </w:pPr>
            <w:r/>
            <w:r>
              <w:rPr>
                <w:b w:val="0"/>
                <w:sz w:val="12"/>
              </w:rPr>
              <w:t>33,0</w:t>
            </w:r>
          </w:p>
        </w:tc>
        <w:tc>
          <w:tcPr>
            <w:tcW w:type="dxa" w:w="850"/>
          </w:tcPr>
          <w:p>
            <w:pPr>
              <w:spacing w:after="0"/>
              <w:jc w:val="right"/>
            </w:pPr>
            <w:r/>
            <w:r>
              <w:rPr>
                <w:b w:val="0"/>
                <w:sz w:val="12"/>
              </w:rPr>
              <w:t>918,28 €</w:t>
            </w:r>
          </w:p>
        </w:tc>
        <w:tc>
          <w:tcPr>
            <w:tcW w:type="dxa" w:w="964"/>
          </w:tcPr>
          <w:p>
            <w:pPr>
              <w:spacing w:after="0"/>
              <w:jc w:val="right"/>
            </w:pPr>
            <w:r/>
            <w:r>
              <w:rPr>
                <w:b/>
                <w:sz w:val="12"/>
              </w:rPr>
              <w:t>31.817,15 €</w:t>
            </w:r>
          </w:p>
        </w:tc>
        <w:tc>
          <w:tcPr>
            <w:tcW w:type="dxa" w:w="624"/>
          </w:tcPr>
          <w:p>
            <w:pPr>
              <w:spacing w:after="0"/>
              <w:jc w:val="right"/>
            </w:pPr>
            <w:r/>
            <w:r>
              <w:rPr>
                <w:b w:val="0"/>
                <w:sz w:val="12"/>
              </w:rPr>
              <w:t>12,73%</w:t>
            </w:r>
          </w:p>
        </w:tc>
      </w:tr>
      <w:tr>
        <w:tc>
          <w:tcPr>
            <w:tcW w:type="dxa" w:w="1191"/>
          </w:tcPr>
          <w:p>
            <w:pPr>
              <w:spacing w:after="0"/>
              <w:jc w:val="left"/>
            </w:pPr>
            <w:r/>
            <w:r>
              <w:rPr>
                <w:b w:val="0"/>
                <w:sz w:val="12"/>
              </w:rPr>
              <w:t>2/2/2025-0402235932</w:t>
            </w:r>
          </w:p>
        </w:tc>
        <w:tc>
          <w:tcPr>
            <w:tcW w:type="dxa" w:w="1984"/>
          </w:tcPr>
          <w:p>
            <w:pPr>
              <w:spacing w:after="0"/>
              <w:jc w:val="left"/>
            </w:pPr>
            <w:r/>
            <w:r>
              <w:rPr>
                <w:b w:val="0"/>
                <w:sz w:val="12"/>
              </w:rPr>
              <w:t>AGRUPACION DEPORTIVA MINUSVALIDOS ECONY</w:t>
            </w:r>
          </w:p>
        </w:tc>
        <w:tc>
          <w:tcPr>
            <w:tcW w:type="dxa" w:w="907"/>
          </w:tcPr>
          <w:p>
            <w:pPr>
              <w:spacing w:after="0"/>
              <w:jc w:val="center"/>
            </w:pPr>
            <w:r/>
            <w:r>
              <w:rPr>
                <w:b w:val="0"/>
                <w:sz w:val="12"/>
              </w:rPr>
              <w:t>G35249069</w:t>
            </w:r>
          </w:p>
        </w:tc>
        <w:tc>
          <w:tcPr>
            <w:tcW w:type="dxa" w:w="1247"/>
          </w:tcPr>
          <w:p>
            <w:pPr>
              <w:spacing w:after="0"/>
              <w:jc w:val="left"/>
            </w:pPr>
            <w:r/>
            <w:r>
              <w:rPr>
                <w:b w:val="0"/>
                <w:sz w:val="12"/>
              </w:rPr>
              <w:t>BALONCESTO (Silla de ruedas)</w:t>
            </w:r>
          </w:p>
        </w:tc>
        <w:tc>
          <w:tcPr>
            <w:tcW w:type="dxa" w:w="510"/>
          </w:tcPr>
          <w:p>
            <w:pPr>
              <w:spacing w:after="0"/>
              <w:jc w:val="center"/>
            </w:pPr>
            <w:r/>
            <w:r>
              <w:rPr>
                <w:b w:val="0"/>
                <w:sz w:val="12"/>
              </w:rPr>
              <w:t>1ª</w:t>
            </w:r>
          </w:p>
        </w:tc>
        <w:tc>
          <w:tcPr>
            <w:tcW w:type="dxa" w:w="369"/>
          </w:tcPr>
          <w:p>
            <w:pPr>
              <w:spacing w:after="0"/>
              <w:jc w:val="center"/>
            </w:pPr>
            <w:r/>
            <w:r>
              <w:rPr>
                <w:b w:val="0"/>
                <w:sz w:val="12"/>
              </w:rPr>
              <w:t>60</w:t>
            </w:r>
          </w:p>
        </w:tc>
        <w:tc>
          <w:tcPr>
            <w:tcW w:type="dxa" w:w="510"/>
          </w:tcPr>
          <w:p>
            <w:pPr>
              <w:spacing w:after="0"/>
              <w:jc w:val="center"/>
            </w:pPr>
            <w:r/>
            <w:r>
              <w:rPr>
                <w:b w:val="0"/>
                <w:sz w:val="12"/>
              </w:rPr>
            </w:r>
          </w:p>
        </w:tc>
        <w:tc>
          <w:tcPr>
            <w:tcW w:type="dxa" w:w="369"/>
          </w:tcPr>
          <w:p>
            <w:pPr>
              <w:spacing w:after="0"/>
              <w:jc w:val="center"/>
            </w:pPr>
            <w:r/>
            <w:r>
              <w:rPr>
                <w:b w:val="0"/>
                <w:sz w:val="12"/>
              </w:rPr>
            </w:r>
          </w:p>
        </w:tc>
        <w:tc>
          <w:tcPr>
            <w:tcW w:type="dxa" w:w="907"/>
          </w:tcPr>
          <w:p>
            <w:pPr>
              <w:spacing w:after="0"/>
              <w:jc w:val="center"/>
            </w:pPr>
            <w:r/>
            <w:r>
              <w:rPr>
                <w:b w:val="0"/>
                <w:sz w:val="12"/>
              </w:rPr>
              <w:t>*</w:t>
            </w:r>
          </w:p>
        </w:tc>
        <w:tc>
          <w:tcPr>
            <w:tcW w:type="dxa" w:w="340"/>
          </w:tcPr>
          <w:p>
            <w:pPr>
              <w:spacing w:after="0"/>
              <w:jc w:val="center"/>
            </w:pPr>
            <w:r/>
            <w:r>
              <w:rPr>
                <w:b w:val="0"/>
                <w:sz w:val="12"/>
              </w:rPr>
            </w:r>
          </w:p>
        </w:tc>
        <w:tc>
          <w:tcPr>
            <w:tcW w:type="dxa" w:w="510"/>
          </w:tcPr>
          <w:p>
            <w:pPr>
              <w:spacing w:after="0"/>
              <w:jc w:val="center"/>
            </w:pPr>
            <w:r/>
            <w:r>
              <w:rPr>
                <w:b w:val="0"/>
                <w:sz w:val="12"/>
              </w:rPr>
              <w:t>60,0</w:t>
            </w:r>
          </w:p>
        </w:tc>
        <w:tc>
          <w:tcPr>
            <w:tcW w:type="dxa" w:w="964"/>
          </w:tcPr>
          <w:p>
            <w:pPr>
              <w:spacing w:after="0"/>
              <w:jc w:val="right"/>
            </w:pPr>
            <w:r/>
            <w:r>
              <w:rPr>
                <w:b/>
                <w:sz w:val="12"/>
              </w:rPr>
              <w:t>56.179,78 €</w:t>
            </w:r>
          </w:p>
        </w:tc>
        <w:tc>
          <w:tcPr>
            <w:tcW w:type="dxa" w:w="1020"/>
          </w:tcPr>
          <w:p>
            <w:pPr>
              <w:spacing w:after="0"/>
              <w:jc w:val="right"/>
            </w:pPr>
            <w:r/>
            <w:r>
              <w:rPr>
                <w:b w:val="0"/>
                <w:sz w:val="12"/>
              </w:rPr>
              <w:t>68.300,00 €</w:t>
            </w:r>
          </w:p>
        </w:tc>
        <w:tc>
          <w:tcPr>
            <w:tcW w:type="dxa" w:w="1020"/>
          </w:tcPr>
          <w:p>
            <w:pPr>
              <w:spacing w:after="0"/>
              <w:jc w:val="right"/>
            </w:pPr>
            <w:r/>
            <w:r>
              <w:rPr>
                <w:b w:val="0"/>
                <w:sz w:val="12"/>
              </w:rPr>
              <w:t>67.300,00 €</w:t>
            </w:r>
          </w:p>
        </w:tc>
        <w:tc>
          <w:tcPr>
            <w:tcW w:type="dxa" w:w="850"/>
          </w:tcPr>
          <w:p>
            <w:pPr>
              <w:spacing w:after="0"/>
              <w:jc w:val="right"/>
            </w:pPr>
            <w:r/>
            <w:r>
              <w:rPr>
                <w:b w:val="0"/>
                <w:sz w:val="12"/>
              </w:rPr>
            </w:r>
          </w:p>
        </w:tc>
        <w:tc>
          <w:tcPr>
            <w:tcW w:type="dxa" w:w="510"/>
          </w:tcPr>
          <w:p>
            <w:pPr>
              <w:spacing w:after="0"/>
              <w:jc w:val="right"/>
            </w:pPr>
            <w:r/>
            <w:r>
              <w:rPr>
                <w:b w:val="0"/>
                <w:sz w:val="12"/>
              </w:rPr>
              <w:t>60,0</w:t>
            </w:r>
          </w:p>
        </w:tc>
        <w:tc>
          <w:tcPr>
            <w:tcW w:type="dxa" w:w="850"/>
          </w:tcPr>
          <w:p>
            <w:pPr>
              <w:spacing w:after="0"/>
              <w:jc w:val="right"/>
            </w:pPr>
            <w:r/>
            <w:r>
              <w:rPr>
                <w:b w:val="0"/>
                <w:sz w:val="12"/>
              </w:rPr>
              <w:t>1.669,59 €</w:t>
            </w:r>
          </w:p>
        </w:tc>
        <w:tc>
          <w:tcPr>
            <w:tcW w:type="dxa" w:w="964"/>
          </w:tcPr>
          <w:p>
            <w:pPr>
              <w:spacing w:after="0"/>
              <w:jc w:val="right"/>
            </w:pPr>
            <w:r/>
            <w:r>
              <w:rPr>
                <w:b/>
                <w:sz w:val="12"/>
              </w:rPr>
              <w:t>57.849,37 €</w:t>
            </w:r>
          </w:p>
        </w:tc>
        <w:tc>
          <w:tcPr>
            <w:tcW w:type="dxa" w:w="624"/>
          </w:tcPr>
          <w:p>
            <w:pPr>
              <w:spacing w:after="0"/>
              <w:jc w:val="right"/>
            </w:pPr>
            <w:r/>
            <w:r>
              <w:rPr>
                <w:b w:val="0"/>
                <w:sz w:val="12"/>
              </w:rPr>
              <w:t>85,96%</w:t>
            </w:r>
          </w:p>
        </w:tc>
      </w:tr>
      <w:tr>
        <w:tc>
          <w:tcPr>
            <w:tcW w:type="dxa" w:w="1191"/>
          </w:tcPr>
          <w:p>
            <w:pPr>
              <w:spacing w:after="0"/>
              <w:jc w:val="left"/>
            </w:pPr>
            <w:r/>
            <w:r>
              <w:rPr>
                <w:b w:val="0"/>
                <w:sz w:val="12"/>
              </w:rPr>
              <w:t>3/2/2025-0402235932</w:t>
            </w:r>
          </w:p>
        </w:tc>
        <w:tc>
          <w:tcPr>
            <w:tcW w:type="dxa" w:w="1984"/>
          </w:tcPr>
          <w:p>
            <w:pPr>
              <w:spacing w:after="0"/>
              <w:jc w:val="left"/>
            </w:pPr>
            <w:r/>
            <w:r>
              <w:rPr>
                <w:b w:val="0"/>
                <w:sz w:val="12"/>
              </w:rPr>
              <w:t>CLUB DEPORTIVO C.N. ECHEYDE ACIDALIO LORENZO</w:t>
            </w:r>
          </w:p>
        </w:tc>
        <w:tc>
          <w:tcPr>
            <w:tcW w:type="dxa" w:w="907"/>
          </w:tcPr>
          <w:p>
            <w:pPr>
              <w:spacing w:after="0"/>
              <w:jc w:val="center"/>
            </w:pPr>
            <w:r/>
            <w:r>
              <w:rPr>
                <w:b w:val="0"/>
                <w:sz w:val="12"/>
              </w:rPr>
              <w:t>G38345054</w:t>
            </w:r>
          </w:p>
        </w:tc>
        <w:tc>
          <w:tcPr>
            <w:tcW w:type="dxa" w:w="1247"/>
          </w:tcPr>
          <w:p>
            <w:pPr>
              <w:spacing w:after="0"/>
              <w:jc w:val="left"/>
            </w:pPr>
            <w:r/>
            <w:r>
              <w:rPr>
                <w:b w:val="0"/>
                <w:sz w:val="12"/>
              </w:rPr>
              <w:t>WATERPOLO (Masculino)</w:t>
            </w:r>
          </w:p>
        </w:tc>
        <w:tc>
          <w:tcPr>
            <w:tcW w:type="dxa" w:w="510"/>
          </w:tcPr>
          <w:p>
            <w:pPr>
              <w:spacing w:after="0"/>
              <w:jc w:val="center"/>
            </w:pPr>
            <w:r/>
            <w:r>
              <w:rPr>
                <w:b w:val="0"/>
                <w:sz w:val="12"/>
              </w:rPr>
              <w:t>2ª</w:t>
            </w:r>
          </w:p>
        </w:tc>
        <w:tc>
          <w:tcPr>
            <w:tcW w:type="dxa" w:w="369"/>
          </w:tcPr>
          <w:p>
            <w:pPr>
              <w:spacing w:after="0"/>
              <w:jc w:val="center"/>
            </w:pPr>
            <w:r/>
            <w:r>
              <w:rPr>
                <w:b w:val="0"/>
                <w:sz w:val="12"/>
              </w:rPr>
              <w:t>40</w:t>
            </w:r>
          </w:p>
        </w:tc>
        <w:tc>
          <w:tcPr>
            <w:tcW w:type="dxa" w:w="510"/>
          </w:tcPr>
          <w:p>
            <w:pPr>
              <w:spacing w:after="0"/>
              <w:jc w:val="center"/>
            </w:pPr>
            <w:r/>
            <w:r>
              <w:rPr>
                <w:b w:val="0"/>
                <w:sz w:val="12"/>
              </w:rPr>
            </w:r>
          </w:p>
        </w:tc>
        <w:tc>
          <w:tcPr>
            <w:tcW w:type="dxa" w:w="369"/>
          </w:tcPr>
          <w:p>
            <w:pPr>
              <w:spacing w:after="0"/>
              <w:jc w:val="center"/>
            </w:pPr>
            <w:r/>
            <w:r>
              <w:rPr>
                <w:b w:val="0"/>
                <w:sz w:val="12"/>
              </w:rPr>
            </w:r>
          </w:p>
        </w:tc>
        <w:tc>
          <w:tcPr>
            <w:tcW w:type="dxa" w:w="907"/>
          </w:tcPr>
          <w:p>
            <w:pPr>
              <w:spacing w:after="0"/>
              <w:jc w:val="center"/>
            </w:pPr>
            <w:r/>
            <w:r>
              <w:rPr>
                <w:b w:val="0"/>
                <w:sz w:val="12"/>
              </w:rPr>
              <w:t>*</w:t>
            </w:r>
          </w:p>
        </w:tc>
        <w:tc>
          <w:tcPr>
            <w:tcW w:type="dxa" w:w="340"/>
          </w:tcPr>
          <w:p>
            <w:pPr>
              <w:spacing w:after="0"/>
              <w:jc w:val="center"/>
            </w:pPr>
            <w:r/>
            <w:r>
              <w:rPr>
                <w:b w:val="0"/>
                <w:sz w:val="12"/>
              </w:rPr>
            </w:r>
          </w:p>
        </w:tc>
        <w:tc>
          <w:tcPr>
            <w:tcW w:type="dxa" w:w="510"/>
          </w:tcPr>
          <w:p>
            <w:pPr>
              <w:spacing w:after="0"/>
              <w:jc w:val="center"/>
            </w:pPr>
            <w:r/>
            <w:r>
              <w:rPr>
                <w:b w:val="0"/>
                <w:sz w:val="12"/>
              </w:rPr>
              <w:t>40,0</w:t>
            </w:r>
          </w:p>
        </w:tc>
        <w:tc>
          <w:tcPr>
            <w:tcW w:type="dxa" w:w="964"/>
          </w:tcPr>
          <w:p>
            <w:pPr>
              <w:spacing w:after="0"/>
              <w:jc w:val="right"/>
            </w:pPr>
            <w:r/>
            <w:r>
              <w:rPr>
                <w:b/>
                <w:sz w:val="12"/>
              </w:rPr>
              <w:t>37.453,18 €</w:t>
            </w:r>
          </w:p>
        </w:tc>
        <w:tc>
          <w:tcPr>
            <w:tcW w:type="dxa" w:w="1020"/>
          </w:tcPr>
          <w:p>
            <w:pPr>
              <w:spacing w:after="0"/>
              <w:jc w:val="right"/>
            </w:pPr>
            <w:r/>
            <w:r>
              <w:rPr>
                <w:b w:val="0"/>
                <w:sz w:val="12"/>
              </w:rPr>
              <w:t>106.000,00 €</w:t>
            </w:r>
          </w:p>
        </w:tc>
        <w:tc>
          <w:tcPr>
            <w:tcW w:type="dxa" w:w="1020"/>
          </w:tcPr>
          <w:p>
            <w:pPr>
              <w:spacing w:after="0"/>
              <w:jc w:val="right"/>
            </w:pPr>
            <w:r/>
            <w:r>
              <w:rPr>
                <w:b w:val="0"/>
                <w:sz w:val="12"/>
              </w:rPr>
              <w:t>106.000,00 €</w:t>
            </w:r>
          </w:p>
        </w:tc>
        <w:tc>
          <w:tcPr>
            <w:tcW w:type="dxa" w:w="850"/>
          </w:tcPr>
          <w:p>
            <w:pPr>
              <w:spacing w:after="0"/>
              <w:jc w:val="right"/>
            </w:pPr>
            <w:r/>
            <w:r>
              <w:rPr>
                <w:b w:val="0"/>
                <w:sz w:val="12"/>
              </w:rPr>
            </w:r>
          </w:p>
        </w:tc>
        <w:tc>
          <w:tcPr>
            <w:tcW w:type="dxa" w:w="510"/>
          </w:tcPr>
          <w:p>
            <w:pPr>
              <w:spacing w:after="0"/>
              <w:jc w:val="right"/>
            </w:pPr>
            <w:r/>
            <w:r>
              <w:rPr>
                <w:b w:val="0"/>
                <w:sz w:val="12"/>
              </w:rPr>
              <w:t>40,0</w:t>
            </w:r>
          </w:p>
        </w:tc>
        <w:tc>
          <w:tcPr>
            <w:tcW w:type="dxa" w:w="850"/>
          </w:tcPr>
          <w:p>
            <w:pPr>
              <w:spacing w:after="0"/>
              <w:jc w:val="right"/>
            </w:pPr>
            <w:r/>
            <w:r>
              <w:rPr>
                <w:b w:val="0"/>
                <w:sz w:val="12"/>
              </w:rPr>
              <w:t>1.113,06 €</w:t>
            </w:r>
          </w:p>
        </w:tc>
        <w:tc>
          <w:tcPr>
            <w:tcW w:type="dxa" w:w="964"/>
          </w:tcPr>
          <w:p>
            <w:pPr>
              <w:spacing w:after="0"/>
              <w:jc w:val="right"/>
            </w:pPr>
            <w:r/>
            <w:r>
              <w:rPr>
                <w:b/>
                <w:sz w:val="12"/>
              </w:rPr>
              <w:t>38.566,24 €</w:t>
            </w:r>
          </w:p>
        </w:tc>
        <w:tc>
          <w:tcPr>
            <w:tcW w:type="dxa" w:w="624"/>
          </w:tcPr>
          <w:p>
            <w:pPr>
              <w:spacing w:after="0"/>
              <w:jc w:val="right"/>
            </w:pPr>
            <w:r/>
            <w:r>
              <w:rPr>
                <w:b w:val="0"/>
                <w:sz w:val="12"/>
              </w:rPr>
              <w:t>36,38%</w:t>
            </w:r>
          </w:p>
        </w:tc>
      </w:tr>
      <w:tr>
        <w:tc>
          <w:tcPr>
            <w:tcW w:type="dxa" w:w="1191"/>
          </w:tcPr>
          <w:p>
            <w:pPr>
              <w:spacing w:after="0"/>
              <w:jc w:val="left"/>
            </w:pPr>
            <w:r/>
            <w:r>
              <w:rPr>
                <w:b w:val="0"/>
                <w:sz w:val="12"/>
              </w:rPr>
              <w:t>3/2/2025-0402235932</w:t>
            </w:r>
          </w:p>
        </w:tc>
        <w:tc>
          <w:tcPr>
            <w:tcW w:type="dxa" w:w="1984"/>
          </w:tcPr>
          <w:p>
            <w:pPr>
              <w:spacing w:after="0"/>
              <w:jc w:val="left"/>
            </w:pPr>
            <w:r/>
            <w:r>
              <w:rPr>
                <w:b w:val="0"/>
                <w:sz w:val="12"/>
              </w:rPr>
              <w:t>CLUB DEPORTIVO C.N. ECHEYDE ACIDALIO LORENZO</w:t>
            </w:r>
          </w:p>
        </w:tc>
        <w:tc>
          <w:tcPr>
            <w:tcW w:type="dxa" w:w="907"/>
          </w:tcPr>
          <w:p>
            <w:pPr>
              <w:spacing w:after="0"/>
              <w:jc w:val="center"/>
            </w:pPr>
            <w:r/>
            <w:r>
              <w:rPr>
                <w:b w:val="0"/>
                <w:sz w:val="12"/>
              </w:rPr>
              <w:t>G38345054</w:t>
            </w:r>
          </w:p>
        </w:tc>
        <w:tc>
          <w:tcPr>
            <w:tcW w:type="dxa" w:w="1247"/>
          </w:tcPr>
          <w:p>
            <w:pPr>
              <w:spacing w:after="0"/>
              <w:jc w:val="left"/>
            </w:pPr>
            <w:r/>
            <w:r>
              <w:rPr>
                <w:b w:val="0"/>
                <w:sz w:val="12"/>
              </w:rPr>
              <w:t>WATERPOLO (Femenino)</w:t>
            </w:r>
          </w:p>
        </w:tc>
        <w:tc>
          <w:tcPr>
            <w:tcW w:type="dxa" w:w="510"/>
          </w:tcPr>
          <w:p>
            <w:pPr>
              <w:spacing w:after="0"/>
              <w:jc w:val="center"/>
            </w:pPr>
            <w:r/>
            <w:r>
              <w:rPr>
                <w:b w:val="0"/>
                <w:sz w:val="12"/>
              </w:rPr>
              <w:t>1ª</w:t>
            </w:r>
          </w:p>
        </w:tc>
        <w:tc>
          <w:tcPr>
            <w:tcW w:type="dxa" w:w="369"/>
          </w:tcPr>
          <w:p>
            <w:pPr>
              <w:spacing w:after="0"/>
              <w:jc w:val="center"/>
            </w:pPr>
            <w:r/>
            <w:r>
              <w:rPr>
                <w:b w:val="0"/>
                <w:sz w:val="12"/>
              </w:rPr>
              <w:t>60</w:t>
            </w:r>
          </w:p>
        </w:tc>
        <w:tc>
          <w:tcPr>
            <w:tcW w:type="dxa" w:w="510"/>
          </w:tcPr>
          <w:p>
            <w:pPr>
              <w:spacing w:after="0"/>
              <w:jc w:val="center"/>
            </w:pPr>
            <w:r/>
            <w:r>
              <w:rPr>
                <w:b w:val="0"/>
                <w:sz w:val="12"/>
              </w:rPr>
              <w:t>1</w:t>
            </w:r>
          </w:p>
        </w:tc>
        <w:tc>
          <w:tcPr>
            <w:tcW w:type="dxa" w:w="369"/>
          </w:tcPr>
          <w:p>
            <w:pPr>
              <w:spacing w:after="0"/>
              <w:jc w:val="center"/>
            </w:pPr>
            <w:r/>
            <w:r>
              <w:rPr>
                <w:b w:val="0"/>
                <w:sz w:val="12"/>
              </w:rPr>
              <w:t>6</w:t>
            </w:r>
          </w:p>
        </w:tc>
        <w:tc>
          <w:tcPr>
            <w:tcW w:type="dxa" w:w="907"/>
          </w:tcPr>
          <w:p>
            <w:pPr>
              <w:spacing w:after="0"/>
              <w:jc w:val="center"/>
            </w:pPr>
            <w:r/>
            <w:r>
              <w:rPr>
                <w:b w:val="0"/>
                <w:sz w:val="12"/>
              </w:rPr>
            </w:r>
          </w:p>
        </w:tc>
        <w:tc>
          <w:tcPr>
            <w:tcW w:type="dxa" w:w="340"/>
          </w:tcPr>
          <w:p>
            <w:pPr>
              <w:spacing w:after="0"/>
              <w:jc w:val="center"/>
            </w:pPr>
            <w:r/>
            <w:r>
              <w:rPr>
                <w:b w:val="0"/>
                <w:sz w:val="12"/>
              </w:rPr>
            </w:r>
          </w:p>
        </w:tc>
        <w:tc>
          <w:tcPr>
            <w:tcW w:type="dxa" w:w="510"/>
          </w:tcPr>
          <w:p>
            <w:pPr>
              <w:spacing w:after="0"/>
              <w:jc w:val="center"/>
            </w:pPr>
            <w:r/>
            <w:r>
              <w:rPr>
                <w:b w:val="0"/>
                <w:sz w:val="12"/>
              </w:rPr>
              <w:t>66,0</w:t>
            </w:r>
          </w:p>
        </w:tc>
        <w:tc>
          <w:tcPr>
            <w:tcW w:type="dxa" w:w="964"/>
          </w:tcPr>
          <w:p>
            <w:pPr>
              <w:spacing w:after="0"/>
              <w:jc w:val="right"/>
            </w:pPr>
            <w:r/>
            <w:r>
              <w:rPr>
                <w:b/>
                <w:sz w:val="12"/>
              </w:rPr>
              <w:t>61.797,75 €</w:t>
            </w:r>
          </w:p>
        </w:tc>
        <w:tc>
          <w:tcPr>
            <w:tcW w:type="dxa" w:w="1020"/>
          </w:tcPr>
          <w:p>
            <w:pPr>
              <w:spacing w:after="0"/>
              <w:jc w:val="right"/>
            </w:pPr>
            <w:r/>
            <w:r>
              <w:rPr>
                <w:b w:val="0"/>
                <w:sz w:val="12"/>
              </w:rPr>
              <w:t>151.500,00 €</w:t>
            </w:r>
          </w:p>
        </w:tc>
        <w:tc>
          <w:tcPr>
            <w:tcW w:type="dxa" w:w="1020"/>
          </w:tcPr>
          <w:p>
            <w:pPr>
              <w:spacing w:after="0"/>
              <w:jc w:val="right"/>
            </w:pPr>
            <w:r/>
            <w:r>
              <w:rPr>
                <w:b w:val="0"/>
                <w:sz w:val="12"/>
              </w:rPr>
              <w:t>151.500,00 €</w:t>
            </w:r>
          </w:p>
        </w:tc>
        <w:tc>
          <w:tcPr>
            <w:tcW w:type="dxa" w:w="850"/>
          </w:tcPr>
          <w:p>
            <w:pPr>
              <w:spacing w:after="0"/>
              <w:jc w:val="right"/>
            </w:pPr>
            <w:r/>
            <w:r>
              <w:rPr>
                <w:b w:val="0"/>
                <w:sz w:val="12"/>
              </w:rPr>
            </w:r>
          </w:p>
        </w:tc>
        <w:tc>
          <w:tcPr>
            <w:tcW w:type="dxa" w:w="510"/>
          </w:tcPr>
          <w:p>
            <w:pPr>
              <w:spacing w:after="0"/>
              <w:jc w:val="right"/>
            </w:pPr>
            <w:r/>
            <w:r>
              <w:rPr>
                <w:b w:val="0"/>
                <w:sz w:val="12"/>
              </w:rPr>
              <w:t>66,0</w:t>
            </w:r>
          </w:p>
        </w:tc>
        <w:tc>
          <w:tcPr>
            <w:tcW w:type="dxa" w:w="850"/>
          </w:tcPr>
          <w:p>
            <w:pPr>
              <w:spacing w:after="0"/>
              <w:jc w:val="right"/>
            </w:pPr>
            <w:r/>
            <w:r>
              <w:rPr>
                <w:b w:val="0"/>
                <w:sz w:val="12"/>
              </w:rPr>
              <w:t>1.836,55 €</w:t>
            </w:r>
          </w:p>
        </w:tc>
        <w:tc>
          <w:tcPr>
            <w:tcW w:type="dxa" w:w="964"/>
          </w:tcPr>
          <w:p>
            <w:pPr>
              <w:spacing w:after="0"/>
              <w:jc w:val="right"/>
            </w:pPr>
            <w:r/>
            <w:r>
              <w:rPr>
                <w:b/>
                <w:sz w:val="12"/>
              </w:rPr>
              <w:t>63.634,30 €</w:t>
            </w:r>
          </w:p>
        </w:tc>
        <w:tc>
          <w:tcPr>
            <w:tcW w:type="dxa" w:w="624"/>
          </w:tcPr>
          <w:p>
            <w:pPr>
              <w:spacing w:after="0"/>
              <w:jc w:val="right"/>
            </w:pPr>
            <w:r/>
            <w:r>
              <w:rPr>
                <w:b w:val="0"/>
                <w:sz w:val="12"/>
              </w:rPr>
              <w:t>42,00%</w:t>
            </w:r>
          </w:p>
        </w:tc>
      </w:tr>
      <w:tr>
        <w:tc>
          <w:tcPr>
            <w:tcW w:type="dxa" w:w="1191"/>
          </w:tcPr>
          <w:p>
            <w:pPr>
              <w:spacing w:after="0"/>
              <w:jc w:val="left"/>
            </w:pPr>
            <w:r/>
            <w:r>
              <w:rPr>
                <w:b w:val="0"/>
                <w:sz w:val="12"/>
              </w:rPr>
              <w:t>4/2/2025-0402235932</w:t>
            </w:r>
          </w:p>
        </w:tc>
        <w:tc>
          <w:tcPr>
            <w:tcW w:type="dxa" w:w="1984"/>
          </w:tcPr>
          <w:p>
            <w:pPr>
              <w:spacing w:after="0"/>
              <w:jc w:val="left"/>
            </w:pPr>
            <w:r/>
            <w:r>
              <w:rPr>
                <w:b w:val="0"/>
                <w:sz w:val="12"/>
              </w:rPr>
              <w:t>CLUB VOLEIBOL JAV OLIMPICO</w:t>
            </w:r>
          </w:p>
        </w:tc>
        <w:tc>
          <w:tcPr>
            <w:tcW w:type="dxa" w:w="907"/>
          </w:tcPr>
          <w:p>
            <w:pPr>
              <w:spacing w:after="0"/>
              <w:jc w:val="center"/>
            </w:pPr>
            <w:r/>
            <w:r>
              <w:rPr>
                <w:b w:val="0"/>
                <w:sz w:val="12"/>
              </w:rPr>
              <w:t>G35250687</w:t>
            </w:r>
          </w:p>
        </w:tc>
        <w:tc>
          <w:tcPr>
            <w:tcW w:type="dxa" w:w="1247"/>
          </w:tcPr>
          <w:p>
            <w:pPr>
              <w:spacing w:after="0"/>
              <w:jc w:val="left"/>
            </w:pPr>
            <w:r/>
            <w:r>
              <w:rPr>
                <w:b w:val="0"/>
                <w:sz w:val="12"/>
              </w:rPr>
              <w:t>VOLEIBOL (Femenino)</w:t>
            </w:r>
          </w:p>
        </w:tc>
        <w:tc>
          <w:tcPr>
            <w:tcW w:type="dxa" w:w="510"/>
          </w:tcPr>
          <w:p>
            <w:pPr>
              <w:spacing w:after="0"/>
              <w:jc w:val="center"/>
            </w:pPr>
            <w:r/>
            <w:r>
              <w:rPr>
                <w:b w:val="0"/>
                <w:sz w:val="12"/>
              </w:rPr>
              <w:t>1ª</w:t>
            </w:r>
          </w:p>
        </w:tc>
        <w:tc>
          <w:tcPr>
            <w:tcW w:type="dxa" w:w="369"/>
          </w:tcPr>
          <w:p>
            <w:pPr>
              <w:spacing w:after="0"/>
              <w:jc w:val="center"/>
            </w:pPr>
            <w:r/>
            <w:r>
              <w:rPr>
                <w:b w:val="0"/>
                <w:sz w:val="12"/>
              </w:rPr>
              <w:t>60</w:t>
            </w:r>
          </w:p>
        </w:tc>
        <w:tc>
          <w:tcPr>
            <w:tcW w:type="dxa" w:w="510"/>
          </w:tcPr>
          <w:p>
            <w:pPr>
              <w:spacing w:after="0"/>
              <w:jc w:val="center"/>
            </w:pPr>
            <w:r/>
            <w:r>
              <w:rPr>
                <w:b w:val="0"/>
                <w:sz w:val="12"/>
              </w:rPr>
            </w:r>
          </w:p>
        </w:tc>
        <w:tc>
          <w:tcPr>
            <w:tcW w:type="dxa" w:w="369"/>
          </w:tcPr>
          <w:p>
            <w:pPr>
              <w:spacing w:after="0"/>
              <w:jc w:val="center"/>
            </w:pPr>
            <w:r/>
            <w:r>
              <w:rPr>
                <w:b w:val="0"/>
                <w:sz w:val="12"/>
              </w:rPr>
            </w:r>
          </w:p>
        </w:tc>
        <w:tc>
          <w:tcPr>
            <w:tcW w:type="dxa" w:w="907"/>
          </w:tcPr>
          <w:p>
            <w:pPr>
              <w:spacing w:after="0"/>
              <w:jc w:val="center"/>
            </w:pPr>
            <w:r/>
            <w:r>
              <w:rPr>
                <w:b w:val="0"/>
                <w:sz w:val="12"/>
              </w:rPr>
              <w:t>Clasificación 3ª</w:t>
            </w:r>
          </w:p>
        </w:tc>
        <w:tc>
          <w:tcPr>
            <w:tcW w:type="dxa" w:w="340"/>
          </w:tcPr>
          <w:p>
            <w:pPr>
              <w:spacing w:after="0"/>
              <w:jc w:val="center"/>
            </w:pPr>
            <w:r/>
            <w:r>
              <w:rPr>
                <w:b w:val="0"/>
                <w:sz w:val="12"/>
              </w:rPr>
              <w:t>7</w:t>
            </w:r>
          </w:p>
        </w:tc>
        <w:tc>
          <w:tcPr>
            <w:tcW w:type="dxa" w:w="510"/>
          </w:tcPr>
          <w:p>
            <w:pPr>
              <w:spacing w:after="0"/>
              <w:jc w:val="center"/>
            </w:pPr>
            <w:r/>
            <w:r>
              <w:rPr>
                <w:b w:val="0"/>
                <w:sz w:val="12"/>
              </w:rPr>
              <w:t>67,0</w:t>
            </w:r>
          </w:p>
        </w:tc>
        <w:tc>
          <w:tcPr>
            <w:tcW w:type="dxa" w:w="964"/>
          </w:tcPr>
          <w:p>
            <w:pPr>
              <w:spacing w:after="0"/>
              <w:jc w:val="right"/>
            </w:pPr>
            <w:r/>
            <w:r>
              <w:rPr>
                <w:b/>
                <w:sz w:val="12"/>
              </w:rPr>
              <w:t>62.734,08 €</w:t>
            </w:r>
          </w:p>
        </w:tc>
        <w:tc>
          <w:tcPr>
            <w:tcW w:type="dxa" w:w="1020"/>
          </w:tcPr>
          <w:p>
            <w:pPr>
              <w:spacing w:after="0"/>
              <w:jc w:val="right"/>
            </w:pPr>
            <w:r/>
            <w:r>
              <w:rPr>
                <w:b w:val="0"/>
                <w:sz w:val="12"/>
              </w:rPr>
              <w:t>468.000,00 €</w:t>
            </w:r>
          </w:p>
        </w:tc>
        <w:tc>
          <w:tcPr>
            <w:tcW w:type="dxa" w:w="1020"/>
          </w:tcPr>
          <w:p>
            <w:pPr>
              <w:spacing w:after="0"/>
              <w:jc w:val="right"/>
            </w:pPr>
            <w:r/>
            <w:r>
              <w:rPr>
                <w:b w:val="0"/>
                <w:sz w:val="12"/>
              </w:rPr>
              <w:t>468.000,00 €</w:t>
            </w:r>
          </w:p>
        </w:tc>
        <w:tc>
          <w:tcPr>
            <w:tcW w:type="dxa" w:w="850"/>
          </w:tcPr>
          <w:p>
            <w:pPr>
              <w:spacing w:after="0"/>
              <w:jc w:val="right"/>
            </w:pPr>
            <w:r/>
            <w:r>
              <w:rPr>
                <w:b w:val="0"/>
                <w:sz w:val="12"/>
              </w:rPr>
            </w:r>
          </w:p>
        </w:tc>
        <w:tc>
          <w:tcPr>
            <w:tcW w:type="dxa" w:w="510"/>
          </w:tcPr>
          <w:p>
            <w:pPr>
              <w:spacing w:after="0"/>
              <w:jc w:val="right"/>
            </w:pPr>
            <w:r/>
            <w:r>
              <w:rPr>
                <w:b w:val="0"/>
                <w:sz w:val="12"/>
              </w:rPr>
              <w:t>67,0</w:t>
            </w:r>
          </w:p>
        </w:tc>
        <w:tc>
          <w:tcPr>
            <w:tcW w:type="dxa" w:w="850"/>
          </w:tcPr>
          <w:p>
            <w:pPr>
              <w:spacing w:after="0"/>
              <w:jc w:val="right"/>
            </w:pPr>
            <w:r/>
            <w:r>
              <w:rPr>
                <w:b w:val="0"/>
                <w:sz w:val="12"/>
              </w:rPr>
              <w:t>1.864,38 €</w:t>
            </w:r>
          </w:p>
        </w:tc>
        <w:tc>
          <w:tcPr>
            <w:tcW w:type="dxa" w:w="964"/>
          </w:tcPr>
          <w:p>
            <w:pPr>
              <w:spacing w:after="0"/>
              <w:jc w:val="right"/>
            </w:pPr>
            <w:r/>
            <w:r>
              <w:rPr>
                <w:b/>
                <w:sz w:val="12"/>
              </w:rPr>
              <w:t>64.598,46 €</w:t>
            </w:r>
          </w:p>
        </w:tc>
        <w:tc>
          <w:tcPr>
            <w:tcW w:type="dxa" w:w="624"/>
          </w:tcPr>
          <w:p>
            <w:pPr>
              <w:spacing w:after="0"/>
              <w:jc w:val="right"/>
            </w:pPr>
            <w:r/>
            <w:r>
              <w:rPr>
                <w:b w:val="0"/>
                <w:sz w:val="12"/>
              </w:rPr>
              <w:t>13,80%</w:t>
            </w:r>
          </w:p>
        </w:tc>
      </w:tr>
      <w:tr>
        <w:tc>
          <w:tcPr>
            <w:tcW w:type="dxa" w:w="1191"/>
          </w:tcPr>
          <w:p>
            <w:pPr>
              <w:spacing w:after="0"/>
              <w:jc w:val="left"/>
            </w:pPr>
            <w:r/>
            <w:r>
              <w:rPr>
                <w:b w:val="0"/>
                <w:sz w:val="12"/>
              </w:rPr>
              <w:t>5/2/2025-0402235932</w:t>
            </w:r>
          </w:p>
        </w:tc>
        <w:tc>
          <w:tcPr>
            <w:tcW w:type="dxa" w:w="1984"/>
          </w:tcPr>
          <w:p>
            <w:pPr>
              <w:spacing w:after="0"/>
              <w:jc w:val="left"/>
            </w:pPr>
            <w:r/>
            <w:r>
              <w:rPr>
                <w:b w:val="0"/>
                <w:sz w:val="12"/>
              </w:rPr>
              <w:t>CLUB DEPORTIVO MARLINS PUERTO CRUZ</w:t>
            </w:r>
          </w:p>
        </w:tc>
        <w:tc>
          <w:tcPr>
            <w:tcW w:type="dxa" w:w="907"/>
          </w:tcPr>
          <w:p>
            <w:pPr>
              <w:spacing w:after="0"/>
              <w:jc w:val="center"/>
            </w:pPr>
            <w:r/>
            <w:r>
              <w:rPr>
                <w:b w:val="0"/>
                <w:sz w:val="12"/>
              </w:rPr>
              <w:t>G38461612</w:t>
            </w:r>
          </w:p>
        </w:tc>
        <w:tc>
          <w:tcPr>
            <w:tcW w:type="dxa" w:w="1247"/>
          </w:tcPr>
          <w:p>
            <w:pPr>
              <w:spacing w:after="0"/>
              <w:jc w:val="left"/>
            </w:pPr>
            <w:r/>
            <w:r>
              <w:rPr>
                <w:b w:val="0"/>
                <w:sz w:val="12"/>
              </w:rPr>
              <w:t>BÉISBOL (Masculino)</w:t>
            </w:r>
          </w:p>
        </w:tc>
        <w:tc>
          <w:tcPr>
            <w:tcW w:type="dxa" w:w="510"/>
          </w:tcPr>
          <w:p>
            <w:pPr>
              <w:spacing w:after="0"/>
              <w:jc w:val="center"/>
            </w:pPr>
            <w:r/>
            <w:r>
              <w:rPr>
                <w:b w:val="0"/>
                <w:sz w:val="12"/>
              </w:rPr>
              <w:t>2ª</w:t>
            </w:r>
          </w:p>
        </w:tc>
        <w:tc>
          <w:tcPr>
            <w:tcW w:type="dxa" w:w="369"/>
          </w:tcPr>
          <w:p>
            <w:pPr>
              <w:spacing w:after="0"/>
              <w:jc w:val="center"/>
            </w:pPr>
            <w:r/>
            <w:r>
              <w:rPr>
                <w:b w:val="0"/>
                <w:sz w:val="12"/>
              </w:rPr>
              <w:t>40</w:t>
            </w:r>
          </w:p>
        </w:tc>
        <w:tc>
          <w:tcPr>
            <w:tcW w:type="dxa" w:w="510"/>
          </w:tcPr>
          <w:p>
            <w:pPr>
              <w:spacing w:after="0"/>
              <w:jc w:val="center"/>
            </w:pPr>
            <w:r/>
            <w:r>
              <w:rPr>
                <w:b w:val="0"/>
                <w:sz w:val="12"/>
              </w:rPr>
              <w:t>1</w:t>
            </w:r>
          </w:p>
        </w:tc>
        <w:tc>
          <w:tcPr>
            <w:tcW w:type="dxa" w:w="369"/>
          </w:tcPr>
          <w:p>
            <w:pPr>
              <w:spacing w:after="0"/>
              <w:jc w:val="center"/>
            </w:pPr>
            <w:r/>
            <w:r>
              <w:rPr>
                <w:b w:val="0"/>
                <w:sz w:val="12"/>
              </w:rPr>
              <w:t>6</w:t>
            </w:r>
          </w:p>
        </w:tc>
        <w:tc>
          <w:tcPr>
            <w:tcW w:type="dxa" w:w="907"/>
          </w:tcPr>
          <w:p>
            <w:pPr>
              <w:spacing w:after="0"/>
              <w:jc w:val="center"/>
            </w:pPr>
            <w:r/>
            <w:r>
              <w:rPr>
                <w:b w:val="0"/>
                <w:sz w:val="12"/>
              </w:rPr>
              <w:t>Campeón 2ª</w:t>
            </w:r>
          </w:p>
        </w:tc>
        <w:tc>
          <w:tcPr>
            <w:tcW w:type="dxa" w:w="340"/>
          </w:tcPr>
          <w:p>
            <w:pPr>
              <w:spacing w:after="0"/>
              <w:jc w:val="center"/>
            </w:pPr>
            <w:r/>
            <w:r>
              <w:rPr>
                <w:b w:val="0"/>
                <w:sz w:val="12"/>
              </w:rPr>
              <w:t>4</w:t>
            </w:r>
          </w:p>
        </w:tc>
        <w:tc>
          <w:tcPr>
            <w:tcW w:type="dxa" w:w="510"/>
          </w:tcPr>
          <w:p>
            <w:pPr>
              <w:spacing w:after="0"/>
              <w:jc w:val="center"/>
            </w:pPr>
            <w:r/>
            <w:r>
              <w:rPr>
                <w:b w:val="0"/>
                <w:sz w:val="12"/>
              </w:rPr>
              <w:t>50,0</w:t>
            </w:r>
          </w:p>
        </w:tc>
        <w:tc>
          <w:tcPr>
            <w:tcW w:type="dxa" w:w="964"/>
          </w:tcPr>
          <w:p>
            <w:pPr>
              <w:spacing w:after="0"/>
              <w:jc w:val="right"/>
            </w:pPr>
            <w:r/>
            <w:r>
              <w:rPr>
                <w:b/>
                <w:sz w:val="12"/>
              </w:rPr>
              <w:t>46.816,48 €</w:t>
            </w:r>
          </w:p>
        </w:tc>
        <w:tc>
          <w:tcPr>
            <w:tcW w:type="dxa" w:w="1020"/>
          </w:tcPr>
          <w:p>
            <w:pPr>
              <w:spacing w:after="0"/>
              <w:jc w:val="right"/>
            </w:pPr>
            <w:r/>
            <w:r>
              <w:rPr>
                <w:b w:val="0"/>
                <w:sz w:val="12"/>
              </w:rPr>
              <w:t>59.966,71 €</w:t>
            </w:r>
          </w:p>
        </w:tc>
        <w:tc>
          <w:tcPr>
            <w:tcW w:type="dxa" w:w="1020"/>
          </w:tcPr>
          <w:p>
            <w:pPr>
              <w:spacing w:after="0"/>
              <w:jc w:val="right"/>
            </w:pPr>
            <w:r/>
            <w:r>
              <w:rPr>
                <w:b w:val="0"/>
                <w:sz w:val="12"/>
              </w:rPr>
              <w:t>59.966,71 €</w:t>
            </w:r>
          </w:p>
        </w:tc>
        <w:tc>
          <w:tcPr>
            <w:tcW w:type="dxa" w:w="850"/>
          </w:tcPr>
          <w:p>
            <w:pPr>
              <w:spacing w:after="0"/>
              <w:jc w:val="right"/>
            </w:pPr>
            <w:r/>
            <w:r>
              <w:rPr>
                <w:b w:val="0"/>
                <w:sz w:val="12"/>
              </w:rPr>
            </w:r>
          </w:p>
        </w:tc>
        <w:tc>
          <w:tcPr>
            <w:tcW w:type="dxa" w:w="510"/>
          </w:tcPr>
          <w:p>
            <w:pPr>
              <w:spacing w:after="0"/>
              <w:jc w:val="right"/>
            </w:pPr>
            <w:r/>
            <w:r>
              <w:rPr>
                <w:b w:val="0"/>
                <w:sz w:val="12"/>
              </w:rPr>
              <w:t>50,0</w:t>
            </w:r>
          </w:p>
        </w:tc>
        <w:tc>
          <w:tcPr>
            <w:tcW w:type="dxa" w:w="850"/>
          </w:tcPr>
          <w:p>
            <w:pPr>
              <w:spacing w:after="0"/>
              <w:jc w:val="right"/>
            </w:pPr>
            <w:r/>
            <w:r>
              <w:rPr>
                <w:b w:val="0"/>
                <w:sz w:val="12"/>
              </w:rPr>
              <w:t>1.391,33 €</w:t>
            </w:r>
          </w:p>
        </w:tc>
        <w:tc>
          <w:tcPr>
            <w:tcW w:type="dxa" w:w="964"/>
          </w:tcPr>
          <w:p>
            <w:pPr>
              <w:spacing w:after="0"/>
              <w:jc w:val="right"/>
            </w:pPr>
            <w:r/>
            <w:r>
              <w:rPr>
                <w:b/>
                <w:sz w:val="12"/>
              </w:rPr>
              <w:t>48.207,81 €</w:t>
            </w:r>
          </w:p>
        </w:tc>
        <w:tc>
          <w:tcPr>
            <w:tcW w:type="dxa" w:w="624"/>
          </w:tcPr>
          <w:p>
            <w:pPr>
              <w:spacing w:after="0"/>
              <w:jc w:val="right"/>
            </w:pPr>
            <w:r/>
            <w:r>
              <w:rPr>
                <w:b w:val="0"/>
                <w:sz w:val="12"/>
              </w:rPr>
              <w:t>80,39%</w:t>
            </w:r>
          </w:p>
        </w:tc>
      </w:tr>
      <w:tr>
        <w:tc>
          <w:tcPr>
            <w:tcW w:type="dxa" w:w="1191"/>
          </w:tcPr>
          <w:p>
            <w:pPr>
              <w:spacing w:after="0"/>
              <w:jc w:val="left"/>
            </w:pPr>
            <w:r/>
            <w:r>
              <w:rPr>
                <w:b w:val="0"/>
                <w:sz w:val="12"/>
              </w:rPr>
              <w:t>6/2/2025-0402235932</w:t>
            </w:r>
          </w:p>
        </w:tc>
        <w:tc>
          <w:tcPr>
            <w:tcW w:type="dxa" w:w="1984"/>
          </w:tcPr>
          <w:p>
            <w:pPr>
              <w:spacing w:after="0"/>
              <w:jc w:val="left"/>
            </w:pPr>
            <w:r/>
            <w:r>
              <w:rPr>
                <w:b w:val="0"/>
                <w:sz w:val="12"/>
              </w:rPr>
              <w:t>CLUB DEPORTIVO VOLEIBOL GUAGUAS</w:t>
            </w:r>
          </w:p>
        </w:tc>
        <w:tc>
          <w:tcPr>
            <w:tcW w:type="dxa" w:w="907"/>
          </w:tcPr>
          <w:p>
            <w:pPr>
              <w:spacing w:after="0"/>
              <w:jc w:val="center"/>
            </w:pPr>
            <w:r/>
            <w:r>
              <w:rPr>
                <w:b w:val="0"/>
                <w:sz w:val="12"/>
              </w:rPr>
              <w:t>G76371350</w:t>
            </w:r>
          </w:p>
        </w:tc>
        <w:tc>
          <w:tcPr>
            <w:tcW w:type="dxa" w:w="1247"/>
          </w:tcPr>
          <w:p>
            <w:pPr>
              <w:spacing w:after="0"/>
              <w:jc w:val="left"/>
            </w:pPr>
            <w:r/>
            <w:r>
              <w:rPr>
                <w:b w:val="0"/>
                <w:sz w:val="12"/>
              </w:rPr>
              <w:t>VOLEIBOL (Masculino)</w:t>
            </w:r>
          </w:p>
        </w:tc>
        <w:tc>
          <w:tcPr>
            <w:tcW w:type="dxa" w:w="510"/>
          </w:tcPr>
          <w:p>
            <w:pPr>
              <w:spacing w:after="0"/>
              <w:jc w:val="center"/>
            </w:pPr>
            <w:r/>
            <w:r>
              <w:rPr>
                <w:b w:val="0"/>
                <w:sz w:val="12"/>
              </w:rPr>
              <w:t>1ª</w:t>
            </w:r>
          </w:p>
        </w:tc>
        <w:tc>
          <w:tcPr>
            <w:tcW w:type="dxa" w:w="369"/>
          </w:tcPr>
          <w:p>
            <w:pPr>
              <w:spacing w:after="0"/>
              <w:jc w:val="center"/>
            </w:pPr>
            <w:r/>
            <w:r>
              <w:rPr>
                <w:b w:val="0"/>
                <w:sz w:val="12"/>
              </w:rPr>
              <w:t>60</w:t>
            </w:r>
          </w:p>
        </w:tc>
        <w:tc>
          <w:tcPr>
            <w:tcW w:type="dxa" w:w="510"/>
          </w:tcPr>
          <w:p>
            <w:pPr>
              <w:spacing w:after="0"/>
              <w:jc w:val="center"/>
            </w:pPr>
            <w:r/>
            <w:r>
              <w:rPr>
                <w:b w:val="0"/>
                <w:sz w:val="12"/>
              </w:rPr>
              <w:t>3</w:t>
            </w:r>
          </w:p>
        </w:tc>
        <w:tc>
          <w:tcPr>
            <w:tcW w:type="dxa" w:w="369"/>
          </w:tcPr>
          <w:p>
            <w:pPr>
              <w:spacing w:after="0"/>
              <w:jc w:val="center"/>
            </w:pPr>
            <w:r/>
            <w:r>
              <w:rPr>
                <w:b w:val="0"/>
                <w:sz w:val="12"/>
              </w:rPr>
              <w:t>22</w:t>
            </w:r>
          </w:p>
        </w:tc>
        <w:tc>
          <w:tcPr>
            <w:tcW w:type="dxa" w:w="907"/>
          </w:tcPr>
          <w:p>
            <w:pPr>
              <w:spacing w:after="0"/>
              <w:jc w:val="center"/>
            </w:pPr>
            <w:r/>
            <w:r>
              <w:rPr>
                <w:b w:val="0"/>
                <w:sz w:val="12"/>
              </w:rPr>
              <w:t>Clasificación 2ª*</w:t>
            </w:r>
          </w:p>
        </w:tc>
        <w:tc>
          <w:tcPr>
            <w:tcW w:type="dxa" w:w="340"/>
          </w:tcPr>
          <w:p>
            <w:pPr>
              <w:spacing w:after="0"/>
              <w:jc w:val="center"/>
            </w:pPr>
            <w:r/>
            <w:r>
              <w:rPr>
                <w:b w:val="0"/>
                <w:sz w:val="12"/>
              </w:rPr>
              <w:t>7</w:t>
            </w:r>
          </w:p>
        </w:tc>
        <w:tc>
          <w:tcPr>
            <w:tcW w:type="dxa" w:w="510"/>
          </w:tcPr>
          <w:p>
            <w:pPr>
              <w:spacing w:after="0"/>
              <w:jc w:val="center"/>
            </w:pPr>
            <w:r/>
            <w:r>
              <w:rPr>
                <w:b w:val="0"/>
                <w:sz w:val="12"/>
              </w:rPr>
              <w:t>89,0</w:t>
            </w:r>
          </w:p>
        </w:tc>
        <w:tc>
          <w:tcPr>
            <w:tcW w:type="dxa" w:w="964"/>
          </w:tcPr>
          <w:p>
            <w:pPr>
              <w:spacing w:after="0"/>
              <w:jc w:val="right"/>
            </w:pPr>
            <w:r/>
            <w:r>
              <w:rPr>
                <w:b/>
                <w:sz w:val="12"/>
              </w:rPr>
              <w:t>83.333,33 €</w:t>
            </w:r>
          </w:p>
        </w:tc>
        <w:tc>
          <w:tcPr>
            <w:tcW w:type="dxa" w:w="1020"/>
          </w:tcPr>
          <w:p>
            <w:pPr>
              <w:spacing w:after="0"/>
              <w:jc w:val="right"/>
            </w:pPr>
            <w:r/>
            <w:r>
              <w:rPr>
                <w:b w:val="0"/>
                <w:sz w:val="12"/>
              </w:rPr>
              <w:t>250.304,32 €</w:t>
            </w:r>
          </w:p>
        </w:tc>
        <w:tc>
          <w:tcPr>
            <w:tcW w:type="dxa" w:w="1020"/>
          </w:tcPr>
          <w:p>
            <w:pPr>
              <w:spacing w:after="0"/>
              <w:jc w:val="right"/>
            </w:pPr>
            <w:r/>
            <w:r>
              <w:rPr>
                <w:b w:val="0"/>
                <w:sz w:val="12"/>
              </w:rPr>
              <w:t>250.304,32 €</w:t>
            </w:r>
          </w:p>
        </w:tc>
        <w:tc>
          <w:tcPr>
            <w:tcW w:type="dxa" w:w="850"/>
          </w:tcPr>
          <w:p>
            <w:pPr>
              <w:spacing w:after="0"/>
              <w:jc w:val="right"/>
            </w:pPr>
            <w:r/>
            <w:r>
              <w:rPr>
                <w:b w:val="0"/>
                <w:sz w:val="12"/>
              </w:rPr>
            </w:r>
          </w:p>
        </w:tc>
        <w:tc>
          <w:tcPr>
            <w:tcW w:type="dxa" w:w="510"/>
          </w:tcPr>
          <w:p>
            <w:pPr>
              <w:spacing w:after="0"/>
              <w:jc w:val="right"/>
            </w:pPr>
            <w:r/>
            <w:r>
              <w:rPr>
                <w:b w:val="0"/>
                <w:sz w:val="12"/>
              </w:rPr>
              <w:t>89,0</w:t>
            </w:r>
          </w:p>
        </w:tc>
        <w:tc>
          <w:tcPr>
            <w:tcW w:type="dxa" w:w="850"/>
          </w:tcPr>
          <w:p>
            <w:pPr>
              <w:spacing w:after="0"/>
              <w:jc w:val="right"/>
            </w:pPr>
            <w:r/>
            <w:r>
              <w:rPr>
                <w:b w:val="0"/>
                <w:sz w:val="12"/>
              </w:rPr>
              <w:t>2.476,56 €</w:t>
            </w:r>
          </w:p>
        </w:tc>
        <w:tc>
          <w:tcPr>
            <w:tcW w:type="dxa" w:w="964"/>
          </w:tcPr>
          <w:p>
            <w:pPr>
              <w:spacing w:after="0"/>
              <w:jc w:val="right"/>
            </w:pPr>
            <w:r/>
            <w:r>
              <w:rPr>
                <w:b/>
                <w:sz w:val="12"/>
              </w:rPr>
              <w:t>85.809,89 €</w:t>
            </w:r>
          </w:p>
        </w:tc>
        <w:tc>
          <w:tcPr>
            <w:tcW w:type="dxa" w:w="624"/>
          </w:tcPr>
          <w:p>
            <w:pPr>
              <w:spacing w:after="0"/>
              <w:jc w:val="right"/>
            </w:pPr>
            <w:r/>
            <w:r>
              <w:rPr>
                <w:b w:val="0"/>
                <w:sz w:val="12"/>
              </w:rPr>
              <w:t>34,28%</w:t>
            </w:r>
          </w:p>
        </w:tc>
      </w:tr>
      <w:tr>
        <w:tc>
          <w:tcPr>
            <w:tcW w:type="dxa" w:w="1191"/>
          </w:tcPr>
          <w:p>
            <w:pPr>
              <w:spacing w:after="0"/>
              <w:jc w:val="left"/>
            </w:pPr>
            <w:r/>
            <w:r>
              <w:rPr>
                <w:b w:val="0"/>
                <w:sz w:val="12"/>
              </w:rPr>
              <w:t>7/2/2025-0402235932</w:t>
            </w:r>
          </w:p>
        </w:tc>
        <w:tc>
          <w:tcPr>
            <w:tcW w:type="dxa" w:w="1984"/>
          </w:tcPr>
          <w:p>
            <w:pPr>
              <w:spacing w:after="0"/>
              <w:jc w:val="left"/>
            </w:pPr>
            <w:r/>
            <w:r>
              <w:rPr>
                <w:b w:val="0"/>
                <w:sz w:val="12"/>
              </w:rPr>
              <w:t>HARIS CLUB DEPORTIVO VOLEIBOL</w:t>
            </w:r>
          </w:p>
        </w:tc>
        <w:tc>
          <w:tcPr>
            <w:tcW w:type="dxa" w:w="907"/>
          </w:tcPr>
          <w:p>
            <w:pPr>
              <w:spacing w:after="0"/>
              <w:jc w:val="center"/>
            </w:pPr>
            <w:r/>
            <w:r>
              <w:rPr>
                <w:b w:val="0"/>
                <w:sz w:val="12"/>
              </w:rPr>
              <w:t>G76551324</w:t>
            </w:r>
          </w:p>
        </w:tc>
        <w:tc>
          <w:tcPr>
            <w:tcW w:type="dxa" w:w="1247"/>
          </w:tcPr>
          <w:p>
            <w:pPr>
              <w:spacing w:after="0"/>
              <w:jc w:val="left"/>
            </w:pPr>
            <w:r/>
            <w:r>
              <w:rPr>
                <w:b w:val="0"/>
                <w:sz w:val="12"/>
              </w:rPr>
              <w:t>VOLEIBOL (Femenino)</w:t>
            </w:r>
          </w:p>
        </w:tc>
        <w:tc>
          <w:tcPr>
            <w:tcW w:type="dxa" w:w="510"/>
          </w:tcPr>
          <w:p>
            <w:pPr>
              <w:spacing w:after="0"/>
              <w:jc w:val="center"/>
            </w:pPr>
            <w:r/>
            <w:r>
              <w:rPr>
                <w:b w:val="0"/>
                <w:sz w:val="12"/>
              </w:rPr>
              <w:t>2ª</w:t>
            </w:r>
          </w:p>
        </w:tc>
        <w:tc>
          <w:tcPr>
            <w:tcW w:type="dxa" w:w="369"/>
          </w:tcPr>
          <w:p>
            <w:pPr>
              <w:spacing w:after="0"/>
              <w:jc w:val="center"/>
            </w:pPr>
            <w:r/>
            <w:r>
              <w:rPr>
                <w:b w:val="0"/>
                <w:sz w:val="12"/>
              </w:rPr>
              <w:t>40</w:t>
            </w:r>
          </w:p>
        </w:tc>
        <w:tc>
          <w:tcPr>
            <w:tcW w:type="dxa" w:w="510"/>
          </w:tcPr>
          <w:p>
            <w:pPr>
              <w:spacing w:after="0"/>
              <w:jc w:val="center"/>
            </w:pPr>
            <w:r/>
            <w:r>
              <w:rPr>
                <w:b w:val="0"/>
                <w:sz w:val="12"/>
              </w:rPr>
              <w:t>1</w:t>
            </w:r>
          </w:p>
        </w:tc>
        <w:tc>
          <w:tcPr>
            <w:tcW w:type="dxa" w:w="369"/>
          </w:tcPr>
          <w:p>
            <w:pPr>
              <w:spacing w:after="0"/>
              <w:jc w:val="center"/>
            </w:pPr>
            <w:r/>
            <w:r>
              <w:rPr>
                <w:b w:val="0"/>
                <w:sz w:val="12"/>
              </w:rPr>
              <w:t>6</w:t>
            </w:r>
          </w:p>
        </w:tc>
        <w:tc>
          <w:tcPr>
            <w:tcW w:type="dxa" w:w="907"/>
          </w:tcPr>
          <w:p>
            <w:pPr>
              <w:spacing w:after="0"/>
              <w:jc w:val="center"/>
            </w:pPr>
            <w:r/>
            <w:r>
              <w:rPr>
                <w:b w:val="0"/>
                <w:sz w:val="12"/>
              </w:rPr>
            </w:r>
          </w:p>
        </w:tc>
        <w:tc>
          <w:tcPr>
            <w:tcW w:type="dxa" w:w="340"/>
          </w:tcPr>
          <w:p>
            <w:pPr>
              <w:spacing w:after="0"/>
              <w:jc w:val="center"/>
            </w:pPr>
            <w:r/>
            <w:r>
              <w:rPr>
                <w:b w:val="0"/>
                <w:sz w:val="12"/>
              </w:rPr>
            </w:r>
          </w:p>
        </w:tc>
        <w:tc>
          <w:tcPr>
            <w:tcW w:type="dxa" w:w="510"/>
          </w:tcPr>
          <w:p>
            <w:pPr>
              <w:spacing w:after="0"/>
              <w:jc w:val="center"/>
            </w:pPr>
            <w:r/>
            <w:r>
              <w:rPr>
                <w:b w:val="0"/>
                <w:sz w:val="12"/>
              </w:rPr>
              <w:t>46,0</w:t>
            </w:r>
          </w:p>
        </w:tc>
        <w:tc>
          <w:tcPr>
            <w:tcW w:type="dxa" w:w="964"/>
          </w:tcPr>
          <w:p>
            <w:pPr>
              <w:spacing w:after="0"/>
              <w:jc w:val="right"/>
            </w:pPr>
            <w:r/>
            <w:r>
              <w:rPr>
                <w:b/>
                <w:sz w:val="12"/>
              </w:rPr>
              <w:t>43.071,16 €</w:t>
            </w:r>
          </w:p>
        </w:tc>
        <w:tc>
          <w:tcPr>
            <w:tcW w:type="dxa" w:w="1020"/>
          </w:tcPr>
          <w:p>
            <w:pPr>
              <w:spacing w:after="0"/>
              <w:jc w:val="right"/>
            </w:pPr>
            <w:r/>
            <w:r>
              <w:rPr>
                <w:b w:val="0"/>
                <w:sz w:val="12"/>
              </w:rPr>
              <w:t>114.447,14 €</w:t>
            </w:r>
          </w:p>
        </w:tc>
        <w:tc>
          <w:tcPr>
            <w:tcW w:type="dxa" w:w="1020"/>
          </w:tcPr>
          <w:p>
            <w:pPr>
              <w:spacing w:after="0"/>
              <w:jc w:val="right"/>
            </w:pPr>
            <w:r/>
            <w:r>
              <w:rPr>
                <w:b w:val="0"/>
                <w:sz w:val="12"/>
              </w:rPr>
              <w:t>114.447,14 €</w:t>
            </w:r>
          </w:p>
        </w:tc>
        <w:tc>
          <w:tcPr>
            <w:tcW w:type="dxa" w:w="850"/>
          </w:tcPr>
          <w:p>
            <w:pPr>
              <w:spacing w:after="0"/>
              <w:jc w:val="right"/>
            </w:pPr>
            <w:r/>
            <w:r>
              <w:rPr>
                <w:b w:val="0"/>
                <w:sz w:val="12"/>
              </w:rPr>
            </w:r>
          </w:p>
        </w:tc>
        <w:tc>
          <w:tcPr>
            <w:tcW w:type="dxa" w:w="510"/>
          </w:tcPr>
          <w:p>
            <w:pPr>
              <w:spacing w:after="0"/>
              <w:jc w:val="right"/>
            </w:pPr>
            <w:r/>
            <w:r>
              <w:rPr>
                <w:b w:val="0"/>
                <w:sz w:val="12"/>
              </w:rPr>
              <w:t>46,0</w:t>
            </w:r>
          </w:p>
        </w:tc>
        <w:tc>
          <w:tcPr>
            <w:tcW w:type="dxa" w:w="850"/>
          </w:tcPr>
          <w:p>
            <w:pPr>
              <w:spacing w:after="0"/>
              <w:jc w:val="right"/>
            </w:pPr>
            <w:r/>
            <w:r>
              <w:rPr>
                <w:b w:val="0"/>
                <w:sz w:val="12"/>
              </w:rPr>
              <w:t>1.280,02 €</w:t>
            </w:r>
          </w:p>
        </w:tc>
        <w:tc>
          <w:tcPr>
            <w:tcW w:type="dxa" w:w="964"/>
          </w:tcPr>
          <w:p>
            <w:pPr>
              <w:spacing w:after="0"/>
              <w:jc w:val="right"/>
            </w:pPr>
            <w:r/>
            <w:r>
              <w:rPr>
                <w:b/>
                <w:sz w:val="12"/>
              </w:rPr>
              <w:t>44.351,18 €</w:t>
            </w:r>
          </w:p>
        </w:tc>
        <w:tc>
          <w:tcPr>
            <w:tcW w:type="dxa" w:w="624"/>
          </w:tcPr>
          <w:p>
            <w:pPr>
              <w:spacing w:after="0"/>
              <w:jc w:val="right"/>
            </w:pPr>
            <w:r/>
            <w:r>
              <w:rPr>
                <w:b w:val="0"/>
                <w:sz w:val="12"/>
              </w:rPr>
              <w:t>38,75%</w:t>
            </w:r>
          </w:p>
        </w:tc>
      </w:tr>
      <w:tr>
        <w:tc>
          <w:tcPr>
            <w:tcW w:type="dxa" w:w="1191"/>
          </w:tcPr>
          <w:p>
            <w:pPr>
              <w:spacing w:after="0"/>
              <w:jc w:val="left"/>
            </w:pPr>
            <w:r/>
            <w:r>
              <w:rPr>
                <w:b w:val="0"/>
                <w:sz w:val="12"/>
              </w:rPr>
              <w:t>8/2/2025-0402235932</w:t>
            </w:r>
          </w:p>
        </w:tc>
        <w:tc>
          <w:tcPr>
            <w:tcW w:type="dxa" w:w="1984"/>
          </w:tcPr>
          <w:p>
            <w:pPr>
              <w:spacing w:after="0"/>
              <w:jc w:val="left"/>
            </w:pPr>
            <w:r/>
            <w:r>
              <w:rPr>
                <w:b w:val="0"/>
                <w:sz w:val="12"/>
              </w:rPr>
              <w:t>CLUB HOCKEY MOLINA SPORT</w:t>
            </w:r>
          </w:p>
        </w:tc>
        <w:tc>
          <w:tcPr>
            <w:tcW w:type="dxa" w:w="907"/>
          </w:tcPr>
          <w:p>
            <w:pPr>
              <w:spacing w:after="0"/>
              <w:jc w:val="center"/>
            </w:pPr>
            <w:r/>
            <w:r>
              <w:rPr>
                <w:b w:val="0"/>
                <w:sz w:val="12"/>
              </w:rPr>
              <w:t>G35512375</w:t>
            </w:r>
          </w:p>
        </w:tc>
        <w:tc>
          <w:tcPr>
            <w:tcW w:type="dxa" w:w="1247"/>
          </w:tcPr>
          <w:p>
            <w:pPr>
              <w:spacing w:after="0"/>
              <w:jc w:val="left"/>
            </w:pPr>
            <w:r/>
            <w:r>
              <w:rPr>
                <w:b w:val="0"/>
                <w:sz w:val="12"/>
              </w:rPr>
              <w:t>HOCKEY LÍNEA (Masculino)</w:t>
            </w:r>
          </w:p>
        </w:tc>
        <w:tc>
          <w:tcPr>
            <w:tcW w:type="dxa" w:w="510"/>
          </w:tcPr>
          <w:p>
            <w:pPr>
              <w:spacing w:after="0"/>
              <w:jc w:val="center"/>
            </w:pPr>
            <w:r/>
            <w:r>
              <w:rPr>
                <w:b w:val="0"/>
                <w:sz w:val="12"/>
              </w:rPr>
              <w:t>1ª</w:t>
            </w:r>
          </w:p>
        </w:tc>
        <w:tc>
          <w:tcPr>
            <w:tcW w:type="dxa" w:w="369"/>
          </w:tcPr>
          <w:p>
            <w:pPr>
              <w:spacing w:after="0"/>
              <w:jc w:val="center"/>
            </w:pPr>
            <w:r/>
            <w:r>
              <w:rPr>
                <w:b w:val="0"/>
                <w:sz w:val="12"/>
              </w:rPr>
              <w:t>60</w:t>
            </w:r>
          </w:p>
        </w:tc>
        <w:tc>
          <w:tcPr>
            <w:tcW w:type="dxa" w:w="510"/>
          </w:tcPr>
          <w:p>
            <w:pPr>
              <w:spacing w:after="0"/>
              <w:jc w:val="center"/>
            </w:pPr>
            <w:r/>
            <w:r>
              <w:rPr>
                <w:b w:val="0"/>
                <w:sz w:val="12"/>
              </w:rPr>
              <w:t>*</w:t>
            </w:r>
          </w:p>
        </w:tc>
        <w:tc>
          <w:tcPr>
            <w:tcW w:type="dxa" w:w="369"/>
          </w:tcPr>
          <w:p>
            <w:pPr>
              <w:spacing w:after="0"/>
              <w:jc w:val="center"/>
            </w:pPr>
            <w:r/>
            <w:r>
              <w:rPr>
                <w:b w:val="0"/>
                <w:sz w:val="12"/>
              </w:rPr>
            </w:r>
          </w:p>
        </w:tc>
        <w:tc>
          <w:tcPr>
            <w:tcW w:type="dxa" w:w="907"/>
          </w:tcPr>
          <w:p>
            <w:pPr>
              <w:spacing w:after="0"/>
              <w:jc w:val="center"/>
            </w:pPr>
            <w:r/>
            <w:r>
              <w:rPr>
                <w:b w:val="0"/>
                <w:sz w:val="12"/>
              </w:rPr>
              <w:t>*</w:t>
            </w:r>
          </w:p>
        </w:tc>
        <w:tc>
          <w:tcPr>
            <w:tcW w:type="dxa" w:w="340"/>
          </w:tcPr>
          <w:p>
            <w:pPr>
              <w:spacing w:after="0"/>
              <w:jc w:val="center"/>
            </w:pPr>
            <w:r/>
            <w:r>
              <w:rPr>
                <w:b w:val="0"/>
                <w:sz w:val="12"/>
              </w:rPr>
            </w:r>
          </w:p>
        </w:tc>
        <w:tc>
          <w:tcPr>
            <w:tcW w:type="dxa" w:w="510"/>
          </w:tcPr>
          <w:p>
            <w:pPr>
              <w:spacing w:after="0"/>
              <w:jc w:val="center"/>
            </w:pPr>
            <w:r/>
            <w:r>
              <w:rPr>
                <w:b w:val="0"/>
                <w:sz w:val="12"/>
              </w:rPr>
              <w:t>60,0</w:t>
            </w:r>
          </w:p>
        </w:tc>
        <w:tc>
          <w:tcPr>
            <w:tcW w:type="dxa" w:w="964"/>
          </w:tcPr>
          <w:p>
            <w:pPr>
              <w:spacing w:after="0"/>
              <w:jc w:val="right"/>
            </w:pPr>
            <w:r/>
            <w:r>
              <w:rPr>
                <w:b/>
                <w:sz w:val="12"/>
              </w:rPr>
              <w:t>56.179,78 €</w:t>
            </w:r>
          </w:p>
        </w:tc>
        <w:tc>
          <w:tcPr>
            <w:tcW w:type="dxa" w:w="1020"/>
          </w:tcPr>
          <w:p>
            <w:pPr>
              <w:spacing w:after="0"/>
              <w:jc w:val="right"/>
            </w:pPr>
            <w:r/>
            <w:r>
              <w:rPr>
                <w:b w:val="0"/>
                <w:sz w:val="12"/>
              </w:rPr>
              <w:t>42.990,00 €</w:t>
            </w:r>
          </w:p>
        </w:tc>
        <w:tc>
          <w:tcPr>
            <w:tcW w:type="dxa" w:w="1020"/>
          </w:tcPr>
          <w:p>
            <w:pPr>
              <w:spacing w:after="0"/>
              <w:jc w:val="right"/>
            </w:pPr>
            <w:r/>
            <w:r>
              <w:rPr>
                <w:b w:val="0"/>
                <w:sz w:val="12"/>
              </w:rPr>
              <w:t>42.990,00 €</w:t>
            </w:r>
          </w:p>
        </w:tc>
        <w:tc>
          <w:tcPr>
            <w:tcW w:type="dxa" w:w="850"/>
          </w:tcPr>
          <w:p>
            <w:pPr>
              <w:spacing w:after="0"/>
              <w:jc w:val="right"/>
            </w:pPr>
            <w:r/>
            <w:r>
              <w:rPr>
                <w:b w:val="0"/>
                <w:sz w:val="12"/>
              </w:rPr>
              <w:t>13.189,78 €</w:t>
            </w:r>
          </w:p>
        </w:tc>
        <w:tc>
          <w:tcPr>
            <w:tcW w:type="dxa" w:w="510"/>
          </w:tcPr>
          <w:p>
            <w:pPr>
              <w:spacing w:after="0"/>
              <w:jc w:val="right"/>
            </w:pPr>
            <w:r/>
            <w:r>
              <w:rPr>
                <w:b w:val="0"/>
                <w:sz w:val="12"/>
              </w:rPr>
            </w:r>
          </w:p>
        </w:tc>
        <w:tc>
          <w:tcPr>
            <w:tcW w:type="dxa" w:w="850"/>
          </w:tcPr>
          <w:p>
            <w:pPr>
              <w:spacing w:after="0"/>
              <w:jc w:val="right"/>
            </w:pPr>
            <w:r/>
            <w:r>
              <w:rPr>
                <w:b w:val="0"/>
                <w:sz w:val="12"/>
              </w:rPr>
            </w:r>
          </w:p>
        </w:tc>
        <w:tc>
          <w:tcPr>
            <w:tcW w:type="dxa" w:w="964"/>
          </w:tcPr>
          <w:p>
            <w:pPr>
              <w:spacing w:after="0"/>
              <w:jc w:val="right"/>
            </w:pPr>
            <w:r/>
            <w:r>
              <w:rPr>
                <w:b/>
                <w:sz w:val="12"/>
              </w:rPr>
              <w:t>42.990,00 €</w:t>
            </w:r>
          </w:p>
        </w:tc>
        <w:tc>
          <w:tcPr>
            <w:tcW w:type="dxa" w:w="624"/>
          </w:tcPr>
          <w:p>
            <w:pPr>
              <w:spacing w:after="0"/>
              <w:jc w:val="right"/>
            </w:pPr>
            <w:r/>
            <w:r>
              <w:rPr>
                <w:b w:val="0"/>
                <w:sz w:val="12"/>
              </w:rPr>
              <w:t>100,00%</w:t>
            </w:r>
          </w:p>
        </w:tc>
      </w:tr>
      <w:tr>
        <w:tc>
          <w:tcPr>
            <w:tcW w:type="dxa" w:w="1191"/>
          </w:tcPr>
          <w:p>
            <w:pPr>
              <w:spacing w:after="0"/>
              <w:jc w:val="left"/>
            </w:pPr>
            <w:r/>
            <w:r>
              <w:rPr>
                <w:b w:val="0"/>
                <w:sz w:val="12"/>
              </w:rPr>
              <w:t>9/2/2025-0402235932</w:t>
            </w:r>
          </w:p>
        </w:tc>
        <w:tc>
          <w:tcPr>
            <w:tcW w:type="dxa" w:w="1984"/>
          </w:tcPr>
          <w:p>
            <w:pPr>
              <w:spacing w:after="0"/>
              <w:jc w:val="left"/>
            </w:pPr>
            <w:r/>
            <w:r>
              <w:rPr>
                <w:b w:val="0"/>
                <w:sz w:val="12"/>
              </w:rPr>
              <w:t>CLUB DEPORTIVO CISNALTER</w:t>
            </w:r>
          </w:p>
        </w:tc>
        <w:tc>
          <w:tcPr>
            <w:tcW w:type="dxa" w:w="907"/>
          </w:tcPr>
          <w:p>
            <w:pPr>
              <w:spacing w:after="0"/>
              <w:jc w:val="center"/>
            </w:pPr>
            <w:r/>
            <w:r>
              <w:rPr>
                <w:b w:val="0"/>
                <w:sz w:val="12"/>
              </w:rPr>
              <w:t>G76618016</w:t>
            </w:r>
          </w:p>
        </w:tc>
        <w:tc>
          <w:tcPr>
            <w:tcW w:type="dxa" w:w="1247"/>
          </w:tcPr>
          <w:p>
            <w:pPr>
              <w:spacing w:after="0"/>
              <w:jc w:val="left"/>
            </w:pPr>
            <w:r/>
            <w:r>
              <w:rPr>
                <w:b w:val="0"/>
                <w:sz w:val="12"/>
              </w:rPr>
              <w:t>VOLEIBOL (Masculino)</w:t>
            </w:r>
          </w:p>
        </w:tc>
        <w:tc>
          <w:tcPr>
            <w:tcW w:type="dxa" w:w="510"/>
          </w:tcPr>
          <w:p>
            <w:pPr>
              <w:spacing w:after="0"/>
              <w:jc w:val="center"/>
            </w:pPr>
            <w:r/>
            <w:r>
              <w:rPr>
                <w:b w:val="0"/>
                <w:sz w:val="12"/>
              </w:rPr>
              <w:t>3ª</w:t>
            </w:r>
          </w:p>
        </w:tc>
        <w:tc>
          <w:tcPr>
            <w:tcW w:type="dxa" w:w="369"/>
          </w:tcPr>
          <w:p>
            <w:pPr>
              <w:spacing w:after="0"/>
              <w:jc w:val="center"/>
            </w:pPr>
            <w:r/>
            <w:r>
              <w:rPr>
                <w:b w:val="0"/>
                <w:sz w:val="12"/>
              </w:rPr>
              <w:t>20</w:t>
            </w:r>
          </w:p>
        </w:tc>
        <w:tc>
          <w:tcPr>
            <w:tcW w:type="dxa" w:w="510"/>
          </w:tcPr>
          <w:p>
            <w:pPr>
              <w:spacing w:after="0"/>
              <w:jc w:val="center"/>
            </w:pPr>
            <w:r/>
            <w:r>
              <w:rPr>
                <w:b w:val="0"/>
                <w:sz w:val="12"/>
              </w:rPr>
              <w:t>1</w:t>
            </w:r>
          </w:p>
        </w:tc>
        <w:tc>
          <w:tcPr>
            <w:tcW w:type="dxa" w:w="369"/>
          </w:tcPr>
          <w:p>
            <w:pPr>
              <w:spacing w:after="0"/>
              <w:jc w:val="center"/>
            </w:pPr>
            <w:r/>
            <w:r>
              <w:rPr>
                <w:b w:val="0"/>
                <w:sz w:val="12"/>
              </w:rPr>
              <w:t>3</w:t>
            </w:r>
          </w:p>
        </w:tc>
        <w:tc>
          <w:tcPr>
            <w:tcW w:type="dxa" w:w="907"/>
          </w:tcPr>
          <w:p>
            <w:pPr>
              <w:spacing w:after="0"/>
              <w:jc w:val="center"/>
            </w:pPr>
            <w:r/>
            <w:r>
              <w:rPr>
                <w:b w:val="0"/>
                <w:sz w:val="12"/>
              </w:rPr>
            </w:r>
          </w:p>
        </w:tc>
        <w:tc>
          <w:tcPr>
            <w:tcW w:type="dxa" w:w="340"/>
          </w:tcPr>
          <w:p>
            <w:pPr>
              <w:spacing w:after="0"/>
              <w:jc w:val="center"/>
            </w:pPr>
            <w:r/>
            <w:r>
              <w:rPr>
                <w:b w:val="0"/>
                <w:sz w:val="12"/>
              </w:rPr>
            </w:r>
          </w:p>
        </w:tc>
        <w:tc>
          <w:tcPr>
            <w:tcW w:type="dxa" w:w="510"/>
          </w:tcPr>
          <w:p>
            <w:pPr>
              <w:spacing w:after="0"/>
              <w:jc w:val="center"/>
            </w:pPr>
            <w:r/>
            <w:r>
              <w:rPr>
                <w:b w:val="0"/>
                <w:sz w:val="12"/>
              </w:rPr>
              <w:t>23,0</w:t>
            </w:r>
          </w:p>
        </w:tc>
        <w:tc>
          <w:tcPr>
            <w:tcW w:type="dxa" w:w="964"/>
          </w:tcPr>
          <w:p>
            <w:pPr>
              <w:spacing w:after="0"/>
              <w:jc w:val="right"/>
            </w:pPr>
            <w:r/>
            <w:r>
              <w:rPr>
                <w:b/>
                <w:sz w:val="12"/>
              </w:rPr>
              <w:t>21.535,58 €</w:t>
            </w:r>
          </w:p>
        </w:tc>
        <w:tc>
          <w:tcPr>
            <w:tcW w:type="dxa" w:w="1020"/>
          </w:tcPr>
          <w:p>
            <w:pPr>
              <w:spacing w:after="0"/>
              <w:jc w:val="right"/>
            </w:pPr>
            <w:r/>
            <w:r>
              <w:rPr>
                <w:b w:val="0"/>
                <w:sz w:val="12"/>
              </w:rPr>
              <w:t>102.500,00 €</w:t>
            </w:r>
          </w:p>
        </w:tc>
        <w:tc>
          <w:tcPr>
            <w:tcW w:type="dxa" w:w="1020"/>
          </w:tcPr>
          <w:p>
            <w:pPr>
              <w:spacing w:after="0"/>
              <w:jc w:val="right"/>
            </w:pPr>
            <w:r/>
            <w:r>
              <w:rPr>
                <w:b w:val="0"/>
                <w:sz w:val="12"/>
              </w:rPr>
              <w:t>102.500,00 €</w:t>
            </w:r>
          </w:p>
        </w:tc>
        <w:tc>
          <w:tcPr>
            <w:tcW w:type="dxa" w:w="850"/>
          </w:tcPr>
          <w:p>
            <w:pPr>
              <w:spacing w:after="0"/>
              <w:jc w:val="right"/>
            </w:pPr>
            <w:r/>
            <w:r>
              <w:rPr>
                <w:b w:val="0"/>
                <w:sz w:val="12"/>
              </w:rPr>
            </w:r>
          </w:p>
        </w:tc>
        <w:tc>
          <w:tcPr>
            <w:tcW w:type="dxa" w:w="510"/>
          </w:tcPr>
          <w:p>
            <w:pPr>
              <w:spacing w:after="0"/>
              <w:jc w:val="right"/>
            </w:pPr>
            <w:r/>
            <w:r>
              <w:rPr>
                <w:b w:val="0"/>
                <w:sz w:val="12"/>
              </w:rPr>
              <w:t>23,0</w:t>
            </w:r>
          </w:p>
        </w:tc>
        <w:tc>
          <w:tcPr>
            <w:tcW w:type="dxa" w:w="850"/>
          </w:tcPr>
          <w:p>
            <w:pPr>
              <w:spacing w:after="0"/>
              <w:jc w:val="right"/>
            </w:pPr>
            <w:r/>
            <w:r>
              <w:rPr>
                <w:b w:val="0"/>
                <w:sz w:val="12"/>
              </w:rPr>
              <w:t>640,01 €</w:t>
            </w:r>
          </w:p>
        </w:tc>
        <w:tc>
          <w:tcPr>
            <w:tcW w:type="dxa" w:w="964"/>
          </w:tcPr>
          <w:p>
            <w:pPr>
              <w:spacing w:after="0"/>
              <w:jc w:val="right"/>
            </w:pPr>
            <w:r/>
            <w:r>
              <w:rPr>
                <w:b/>
                <w:sz w:val="12"/>
              </w:rPr>
              <w:t>22.175,59 €</w:t>
            </w:r>
          </w:p>
        </w:tc>
        <w:tc>
          <w:tcPr>
            <w:tcW w:type="dxa" w:w="624"/>
          </w:tcPr>
          <w:p>
            <w:pPr>
              <w:spacing w:after="0"/>
              <w:jc w:val="right"/>
            </w:pPr>
            <w:r/>
            <w:r>
              <w:rPr>
                <w:b w:val="0"/>
                <w:sz w:val="12"/>
              </w:rPr>
              <w:t>21,63%</w:t>
            </w:r>
          </w:p>
        </w:tc>
      </w:tr>
      <w:tr>
        <w:tc>
          <w:tcPr>
            <w:tcW w:type="dxa" w:w="1191"/>
            <w:shd w:val="clear" w:color="auto" w:fill="F2F2F2"/>
          </w:tcPr>
          <w:p>
            <w:pPr>
              <w:spacing w:after="0"/>
              <w:jc w:val="center"/>
            </w:pPr>
            <w:r/>
            <w:r>
              <w:rPr>
                <w:b/>
                <w:sz w:val="12"/>
              </w:rPr>
              <w:t>TOTALES</w:t>
            </w:r>
          </w:p>
        </w:tc>
        <w:tc>
          <w:tcPr>
            <w:tcW w:type="dxa" w:w="1984"/>
            <w:shd w:val="clear" w:color="auto" w:fill="F2F2F2"/>
          </w:tcPr>
          <w:p>
            <w:pPr>
              <w:spacing w:after="0"/>
              <w:jc w:val="center"/>
            </w:pPr>
            <w:r/>
            <w:r>
              <w:rPr>
                <w:b/>
                <w:sz w:val="12"/>
              </w:rPr>
            </w:r>
          </w:p>
        </w:tc>
        <w:tc>
          <w:tcPr>
            <w:tcW w:type="dxa" w:w="907"/>
            <w:shd w:val="clear" w:color="auto" w:fill="F2F2F2"/>
          </w:tcPr>
          <w:p>
            <w:pPr>
              <w:spacing w:after="0"/>
              <w:jc w:val="center"/>
            </w:pPr>
            <w:r/>
            <w:r>
              <w:rPr>
                <w:b/>
                <w:sz w:val="12"/>
              </w:rPr>
            </w:r>
          </w:p>
        </w:tc>
        <w:tc>
          <w:tcPr>
            <w:tcW w:type="dxa" w:w="1247"/>
            <w:shd w:val="clear" w:color="auto" w:fill="F2F2F2"/>
          </w:tcPr>
          <w:p>
            <w:pPr>
              <w:spacing w:after="0"/>
              <w:jc w:val="center"/>
            </w:pPr>
            <w:r/>
            <w:r>
              <w:rPr>
                <w:b/>
                <w:sz w:val="12"/>
              </w:rPr>
            </w:r>
          </w:p>
        </w:tc>
        <w:tc>
          <w:tcPr>
            <w:tcW w:type="dxa" w:w="510"/>
            <w:shd w:val="clear" w:color="auto" w:fill="F2F2F2"/>
          </w:tcPr>
          <w:p>
            <w:pPr>
              <w:spacing w:after="0"/>
              <w:jc w:val="center"/>
            </w:pPr>
            <w:r/>
            <w:r>
              <w:rPr>
                <w:b/>
                <w:sz w:val="12"/>
              </w:rPr>
            </w:r>
          </w:p>
        </w:tc>
        <w:tc>
          <w:tcPr>
            <w:tcW w:type="dxa" w:w="369"/>
            <w:shd w:val="clear" w:color="auto" w:fill="F2F2F2"/>
          </w:tcPr>
          <w:p>
            <w:pPr>
              <w:spacing w:after="0"/>
              <w:jc w:val="center"/>
            </w:pPr>
            <w:r/>
            <w:r>
              <w:rPr>
                <w:b/>
                <w:sz w:val="12"/>
              </w:rPr>
            </w:r>
          </w:p>
        </w:tc>
        <w:tc>
          <w:tcPr>
            <w:tcW w:type="dxa" w:w="510"/>
            <w:shd w:val="clear" w:color="auto" w:fill="F2F2F2"/>
          </w:tcPr>
          <w:p>
            <w:pPr>
              <w:spacing w:after="0"/>
              <w:jc w:val="center"/>
            </w:pPr>
            <w:r/>
            <w:r>
              <w:rPr>
                <w:b/>
                <w:sz w:val="12"/>
              </w:rPr>
            </w:r>
          </w:p>
        </w:tc>
        <w:tc>
          <w:tcPr>
            <w:tcW w:type="dxa" w:w="369"/>
            <w:shd w:val="clear" w:color="auto" w:fill="F2F2F2"/>
          </w:tcPr>
          <w:p>
            <w:pPr>
              <w:spacing w:after="0"/>
              <w:jc w:val="center"/>
            </w:pPr>
            <w:r/>
            <w:r>
              <w:rPr>
                <w:b/>
                <w:sz w:val="12"/>
              </w:rPr>
            </w:r>
          </w:p>
        </w:tc>
        <w:tc>
          <w:tcPr>
            <w:tcW w:type="dxa" w:w="907"/>
            <w:shd w:val="clear" w:color="auto" w:fill="F2F2F2"/>
          </w:tcPr>
          <w:p>
            <w:pPr>
              <w:spacing w:after="0"/>
              <w:jc w:val="center"/>
            </w:pPr>
            <w:r/>
            <w:r>
              <w:rPr>
                <w:b/>
                <w:sz w:val="12"/>
              </w:rPr>
            </w:r>
          </w:p>
        </w:tc>
        <w:tc>
          <w:tcPr>
            <w:tcW w:type="dxa" w:w="340"/>
            <w:shd w:val="clear" w:color="auto" w:fill="F2F2F2"/>
          </w:tcPr>
          <w:p>
            <w:pPr>
              <w:spacing w:after="0"/>
              <w:jc w:val="center"/>
            </w:pPr>
            <w:r/>
            <w:r>
              <w:rPr>
                <w:b/>
                <w:sz w:val="12"/>
              </w:rPr>
            </w:r>
          </w:p>
        </w:tc>
        <w:tc>
          <w:tcPr>
            <w:tcW w:type="dxa" w:w="510"/>
            <w:shd w:val="clear" w:color="auto" w:fill="F2F2F2"/>
          </w:tcPr>
          <w:p>
            <w:pPr>
              <w:spacing w:after="0"/>
              <w:jc w:val="center"/>
            </w:pPr>
            <w:r/>
            <w:r>
              <w:rPr>
                <w:b/>
                <w:sz w:val="12"/>
              </w:rPr>
              <w:t>534,0</w:t>
            </w:r>
          </w:p>
        </w:tc>
        <w:tc>
          <w:tcPr>
            <w:tcW w:type="dxa" w:w="964"/>
            <w:shd w:val="clear" w:color="auto" w:fill="F2F2F2"/>
          </w:tcPr>
          <w:p>
            <w:pPr>
              <w:spacing w:after="0"/>
              <w:jc w:val="right"/>
            </w:pPr>
            <w:r/>
            <w:r>
              <w:rPr>
                <w:b/>
                <w:sz w:val="12"/>
              </w:rPr>
              <w:t>500.000,00 €</w:t>
            </w:r>
          </w:p>
        </w:tc>
        <w:tc>
          <w:tcPr>
            <w:tcW w:type="dxa" w:w="1020"/>
            <w:shd w:val="clear" w:color="auto" w:fill="F2F2F2"/>
          </w:tcPr>
          <w:p>
            <w:pPr>
              <w:spacing w:after="0"/>
              <w:jc w:val="right"/>
            </w:pPr>
            <w:r/>
            <w:r>
              <w:rPr>
                <w:b/>
                <w:sz w:val="12"/>
              </w:rPr>
            </w:r>
          </w:p>
        </w:tc>
        <w:tc>
          <w:tcPr>
            <w:tcW w:type="dxa" w:w="1020"/>
            <w:shd w:val="clear" w:color="auto" w:fill="F2F2F2"/>
          </w:tcPr>
          <w:p>
            <w:pPr>
              <w:spacing w:after="0"/>
              <w:jc w:val="right"/>
            </w:pPr>
            <w:r/>
            <w:r>
              <w:rPr>
                <w:b/>
                <w:sz w:val="12"/>
              </w:rPr>
              <w:t>1.613.008,17 €</w:t>
            </w:r>
          </w:p>
        </w:tc>
        <w:tc>
          <w:tcPr>
            <w:tcW w:type="dxa" w:w="850"/>
            <w:shd w:val="clear" w:color="auto" w:fill="F2F2F2"/>
          </w:tcPr>
          <w:p>
            <w:pPr>
              <w:spacing w:after="0"/>
              <w:jc w:val="right"/>
            </w:pPr>
            <w:r/>
            <w:r>
              <w:rPr>
                <w:b/>
                <w:sz w:val="12"/>
              </w:rPr>
              <w:t>13.189,78 €</w:t>
            </w:r>
          </w:p>
        </w:tc>
        <w:tc>
          <w:tcPr>
            <w:tcW w:type="dxa" w:w="510"/>
            <w:shd w:val="clear" w:color="auto" w:fill="F2F2F2"/>
          </w:tcPr>
          <w:p>
            <w:pPr>
              <w:spacing w:after="0"/>
              <w:jc w:val="right"/>
            </w:pPr>
            <w:r/>
            <w:r>
              <w:rPr>
                <w:b/>
                <w:sz w:val="12"/>
              </w:rPr>
              <w:t>474,0</w:t>
            </w:r>
          </w:p>
        </w:tc>
        <w:tc>
          <w:tcPr>
            <w:tcW w:type="dxa" w:w="850"/>
            <w:shd w:val="clear" w:color="auto" w:fill="F2F2F2"/>
          </w:tcPr>
          <w:p>
            <w:pPr>
              <w:spacing w:after="0"/>
              <w:jc w:val="right"/>
            </w:pPr>
            <w:r/>
            <w:r>
              <w:rPr>
                <w:b/>
                <w:sz w:val="12"/>
              </w:rPr>
              <w:t>13.189,78 €</w:t>
            </w:r>
          </w:p>
        </w:tc>
        <w:tc>
          <w:tcPr>
            <w:tcW w:type="dxa" w:w="964"/>
            <w:shd w:val="clear" w:color="auto" w:fill="F2F2F2"/>
          </w:tcPr>
          <w:p>
            <w:pPr>
              <w:spacing w:after="0"/>
              <w:jc w:val="right"/>
            </w:pPr>
            <w:r/>
            <w:r>
              <w:rPr>
                <w:b/>
                <w:sz w:val="12"/>
              </w:rPr>
              <w:t>500.000,00 €</w:t>
            </w:r>
          </w:p>
        </w:tc>
        <w:tc>
          <w:tcPr>
            <w:tcW w:type="dxa" w:w="624"/>
            <w:shd w:val="clear" w:color="auto" w:fill="F2F2F2"/>
          </w:tcPr>
          <w:p>
            <w:pPr>
              <w:spacing w:after="0"/>
              <w:jc w:val="right"/>
            </w:pPr>
            <w:r/>
            <w:r>
              <w:rPr>
                <w:b/>
                <w:sz w:val="12"/>
              </w:rPr>
              <w:t>46,59%</w:t>
            </w:r>
          </w:p>
        </w:tc>
      </w:tr>
    </w:tbl>
    <w:p>
      <w:pPr>
        <w:jc w:val="both"/>
      </w:pPr>
    </w:p>
    <w:p>
      <w:pPr>
        <w:jc w:val="left"/>
      </w:pPr>
      <w:r>
        <w:rPr>
          <w:b/>
          <w:i w:val="0"/>
          <w:sz w:val="18"/>
        </w:rPr>
        <w:t>VALOR €/P: 936,329588</w:t>
      </w:r>
    </w:p>
    <w:p>
      <w:pPr>
        <w:jc w:val="left"/>
      </w:pPr>
      <w:r>
        <w:rPr>
          <w:b w:val="0"/>
          <w:i w:val="0"/>
          <w:sz w:val="16"/>
        </w:rPr>
        <w:t>* Se actualizará en Resolución Definitiva su clasificación una finalizada la competición en curso.</w:t>
      </w:r>
    </w:p>
    <w:sectPr w:rsidR="00FC693F" w:rsidRPr="0006063C" w:rsidSect="00034616">
      <w:pgSz w:w="16838" w:h="11906" w:orient="landscape"/>
      <w:pgMar w:top="850" w:right="567" w:bottom="85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3600000" cy="903107"/>
          <wp:docPr id="1" name="Picture 1"/>
          <wp:cNvGraphicFramePr>
            <a:graphicFrameLocks noChangeAspect="1"/>
          </wp:cNvGraphicFramePr>
          <a:graphic>
            <a:graphicData uri="http://schemas.openxmlformats.org/drawingml/2006/picture">
              <pic:pic>
                <pic:nvPicPr>
                  <pic:cNvPr id="0" name="header.png"/>
                  <pic:cNvPicPr/>
                </pic:nvPicPr>
                <pic:blipFill>
                  <a:blip r:embed="rId1"/>
                  <a:stretch>
                    <a:fillRect/>
                  </a:stretch>
                </pic:blipFill>
                <pic:spPr>
                  <a:xfrm>
                    <a:off x="0" y="0"/>
                    <a:ext cx="3600000" cy="903107"/>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